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1</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ANG4</w:t>
            </w:r>
          </w:p>
        </w:tc>
        <w:tc>
          <w:tcPr>
            <w:tcW w:type="dxa" w:w="4986"/>
          </w:tcPr>
          <w:p>
            <w:pPr>
              <w:spacing w:before="20" w:after="20"/>
            </w:pPr>
            <w:r>
              <w:rPr>
                <w:rFonts w:ascii="Aptos" w:hAnsi="Aptos"/>
                <w:b w:val="0"/>
                <w:i w:val="0"/>
                <w:sz w:val="22"/>
              </w:rPr>
              <w:t>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at the A1/A2 level. Students acquire Spanish proficiency enabling basic communication in everyday situations, expression of thoughts and opinions, and understanding and producing short written texts and spoken statements.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Hiszpański na świecie - ogólne informacje o krajach hiszpańskojęzycznych, alfabet,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przywitania, pożegnania, samopoczucie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Edukacja – nazwy przyborów szkolnych, zwroty przydatne na lekcjach, liczebniki do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20, rodzaj i liczba rzeczowników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Człowiek - dane personalne, narodowość, wiek, stan cywilny, zawody, czasownik ser,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tener, vivir, llamarse, rodzaj i liczba przymiotników,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Życie prywatne – rodzina (pokrewieństwo), przyjaciele, imiona i nazwiska hiszpańskie, liczebniki do 100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Praca – zawody, miejsca pracy, odmiana czasowników regularnych,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Wygląd człowieka – cechy fizyczne i cechy charakteru, 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Rzeczy osobiste – ubrania i kolory, zaimki wskazujące, czasownik llevar, rodzajniki nieokreślone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Święta w Hiszpanii: Sylwester, Nowy Rok, Święto Trzech Króli, tradycje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hiszpńskim z wykorzystaniem opracowań dydaktycznych zgodnie z zasadami przewidzianymi dla danej formy.</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Obecność na zajęciach – zgodnie z regulaminem 15% nieobecności nieustawiedliwionych, 15% nieobecności usprawiedliwionych; Prace pisemne – min. jedna praca na semestr.; Kolokwia/testy/kartkówki na podstawie opracowanego materiału – 1-2 na semestr (decyzja lektora); Wypowiedź ustna (o rodzaju decyduje lektor).; Przygotowywanie prac domowych oraz aktywne uczestnictwo w zajęciach.;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