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machine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IML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studia przypadków z bazy studiów przypadków opracowanych przez firmy MŚP lub będące efektem staży</w:t>
            </w:r>
          </w:p>
          <w:p>
            <w:pPr>
              <w:spacing w:before="20" w:after="20"/>
            </w:pPr>
            <w:r>
              <w:rPr>
                <w:rFonts w:ascii="Aptos" w:hAnsi="Aptos"/>
                <w:sz w:val="22"/>
              </w:rPr>
              <w:t>4. warsztaty</w:t>
            </w:r>
          </w:p>
          <w:p>
            <w:pPr>
              <w:spacing w:before="20" w:after="20"/>
            </w:pPr>
            <w:r>
              <w:rPr>
                <w:rFonts w:ascii="Aptos" w:hAnsi="Aptos"/>
                <w:sz w:val="22"/>
              </w:rPr>
              <w:t>5. Kryteria oceny</w:t>
            </w:r>
          </w:p>
          <w:p>
            <w:pPr>
              <w:spacing w:before="20" w:after="20"/>
            </w:pPr>
            <w:r>
              <w:rPr>
                <w:rFonts w:ascii="Aptos" w:hAnsi="Aptos"/>
                <w:sz w:val="22"/>
              </w:rPr>
              <w:t>6. Ocena praktycznego zastosowania kwestii omawianych na wykładach. Studenci otrzymują zadania programistyczne do wykonania podczas zajęć (do zdobycia maks. 40 punktów, z gradacją 0.5 p.)</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studia przypadków z bazy studiów przypadków opracowanych przez firmy MŚP lub będące efektem staży</w:t>
            </w:r>
          </w:p>
          <w:p>
            <w:pPr>
              <w:spacing w:before="20" w:after="20"/>
            </w:pPr>
            <w:r>
              <w:rPr>
                <w:rFonts w:ascii="Aptos" w:hAnsi="Aptos"/>
                <w:sz w:val="22"/>
              </w:rPr>
              <w:t>4. warsztaty</w:t>
            </w:r>
          </w:p>
          <w:p>
            <w:pPr>
              <w:spacing w:before="20" w:after="20"/>
            </w:pPr>
            <w:r>
              <w:rPr>
                <w:rFonts w:ascii="Aptos" w:hAnsi="Aptos"/>
                <w:sz w:val="22"/>
              </w:rPr>
              <w:t>5. Kryteria oceny</w:t>
            </w:r>
          </w:p>
          <w:p>
            <w:pPr>
              <w:spacing w:before="20" w:after="20"/>
            </w:pPr>
            <w:r>
              <w:rPr>
                <w:rFonts w:ascii="Aptos" w:hAnsi="Aptos"/>
                <w:sz w:val="22"/>
              </w:rPr>
              <w:t>6. Ocena praktycznego zastosowania kwestii omawianych na wykładach. Studenci otrzymują zadania programistyczne do wykonania podczas zajęć (do zdobycia maks. 40 punktów, z gradacją 0.5 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uczenia maszynowego (w tym elementami uczenia głębokiego), głównie z wykorzystaniem sieci neuronowych (w tym sieci splotowych), a także z metodami programowania wybranych metod oraz praktycznym wykorzystaniem gotowych narzędzi.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of machine learning (including elements of deep learning), mainly using neural networks (including convolutional neural networks), as well as with methods for programming selected techniques and the practical use of ready-made tools.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Sieci autoasocjacyjne. Transfer learning. Walidacja krzyżowa. Elementy wyjaśnialnej sztucznej inteligencji.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Sieci rekurencyjne. Budowa, metody uczenia, zastosowania, ograniczenia. Pamięci asocjacyjne. Komórki LSTM i GRU.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Strategie gier dwuosobowych. Algorytm MINIMAX.  Funkcja heurystyczna. Przycinanie alfa-beta. Idea self-play.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Automaty komórkowe ze szczególnym uwzględnieniem ich zastosowania w uczeniu maszynowym.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Elementy języka Prolog. Zapis predykatów. Wnioskowanie wstecz i w przód.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 A. lista dotychczas zaproponowanych metod dydaktycznych; można zaproponować inne.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wykład konwersatoryjny (z elementami dyskusji)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wykład z prezentacją multimedialną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wykład z prezentacją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warsztaty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Ćwiczenia / Laboratorium/Lektorat: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analiza tekstów z dyskusją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metoda projektów (projekt praktyczny)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praca w grupach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rozwiązywanie zadań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burza mózgów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mind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puzzle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studia przypadków z bazy studiów przypadków opracowanych przez firmy MŚP lub będące efektem staży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praca grupowa nad projektem z wykorzystaniem nowoczesnych technik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warsztaty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 B. lista dotychczas zaproponowanych metod weryfikacji; można zaproponować inne.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sprawdziany wstępne „wejściówki”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kolokwium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kolokwium końcowe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egzamin pisemny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egzamin pisemny - test wyboru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egzamin pisemny - tekst z lukami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egzamin pisemny z zadaniami problemowymi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egzamin pisemny ze studium przypadku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egzamin ustny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końcowe sprawozdanie z pracy w zespole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prezentacja samodzielnej pracy semestralnej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prezentacja elementu zespołowej pracy semestralnej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prezentacja projektu i dokumentacji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prezentacja mini-projektu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obrona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rezultaty gry strategicznej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52.</w:t>
            </w:r>
          </w:p>
        </w:tc>
        <w:tc>
          <w:tcPr>
            <w:tcW w:type="dxa" w:w="4536"/>
          </w:tcPr>
          <w:p>
            <w:pPr>
              <w:spacing w:before="20" w:after="20"/>
            </w:pPr>
            <w:r>
              <w:rPr>
                <w:rFonts w:ascii="Aptos" w:hAnsi="Aptos"/>
                <w:b w:val="0"/>
                <w:i w:val="0"/>
                <w:sz w:val="22"/>
              </w:rPr>
              <w:t>ocena pracy podczas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53.</w:t>
            </w:r>
          </w:p>
        </w:tc>
        <w:tc>
          <w:tcPr>
            <w:tcW w:type="dxa" w:w="4536"/>
          </w:tcPr>
          <w:p>
            <w:pPr>
              <w:spacing w:before="20" w:after="20"/>
            </w:pPr>
            <w:r>
              <w:rPr>
                <w:rFonts w:ascii="Aptos" w:hAnsi="Aptos"/>
                <w:b w:val="0"/>
                <w:i w:val="0"/>
                <w:sz w:val="22"/>
              </w:rPr>
              <w:t>raport z wykonanego zadania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54.</w:t>
            </w:r>
          </w:p>
        </w:tc>
        <w:tc>
          <w:tcPr>
            <w:tcW w:type="dxa" w:w="4536"/>
          </w:tcPr>
          <w:p>
            <w:pPr>
              <w:spacing w:before="20" w:after="20"/>
            </w:pPr>
            <w:r>
              <w:rPr>
                <w:rFonts w:ascii="Aptos" w:hAnsi="Aptos"/>
                <w:b w:val="0"/>
                <w:i w:val="0"/>
                <w:sz w:val="22"/>
              </w:rPr>
              <w:t>ocena sporządzonego dokumentu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55.</w:t>
            </w:r>
          </w:p>
        </w:tc>
        <w:tc>
          <w:tcPr>
            <w:tcW w:type="dxa" w:w="4536"/>
          </w:tcPr>
          <w:p>
            <w:pPr>
              <w:spacing w:before="20" w:after="20"/>
            </w:pPr>
            <w:r>
              <w:rPr>
                <w:rFonts w:ascii="Aptos" w:hAnsi="Aptos"/>
                <w:b w:val="0"/>
                <w:i w:val="0"/>
                <w:sz w:val="22"/>
              </w:rPr>
              <w:t>ocena sporządzonego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56.</w:t>
            </w:r>
          </w:p>
        </w:tc>
        <w:tc>
          <w:tcPr>
            <w:tcW w:type="dxa" w:w="4536"/>
          </w:tcPr>
          <w:p>
            <w:pPr>
              <w:spacing w:before="20" w:after="20"/>
            </w:pPr>
            <w:r>
              <w:rPr>
                <w:rFonts w:ascii="Aptos" w:hAnsi="Aptos"/>
                <w:b w:val="0"/>
                <w:i w:val="0"/>
                <w:sz w:val="22"/>
              </w:rPr>
              <w:t>wskazanie źródeł użytych materiałów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57.</w:t>
            </w:r>
          </w:p>
        </w:tc>
        <w:tc>
          <w:tcPr>
            <w:tcW w:type="dxa" w:w="4536"/>
          </w:tcPr>
          <w:p>
            <w:pPr>
              <w:spacing w:before="20" w:after="20"/>
            </w:pPr>
            <w:r>
              <w:rPr>
                <w:rFonts w:ascii="Aptos" w:hAnsi="Aptos"/>
                <w:b w:val="0"/>
                <w:i w:val="0"/>
                <w:sz w:val="22"/>
              </w:rPr>
              <w:t>kwestionariusz wywiadu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58.</w:t>
            </w:r>
          </w:p>
        </w:tc>
        <w:tc>
          <w:tcPr>
            <w:tcW w:type="dxa" w:w="4536"/>
          </w:tcPr>
          <w:p>
            <w:pPr>
              <w:spacing w:before="20" w:after="20"/>
            </w:pPr>
            <w:r>
              <w:rPr>
                <w:rFonts w:ascii="Aptos" w:hAnsi="Aptos"/>
                <w:b w:val="0"/>
                <w:i w:val="0"/>
                <w:sz w:val="22"/>
              </w:rPr>
              <w:t>sprawozdanie z rozmowy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59.</w:t>
            </w:r>
          </w:p>
        </w:tc>
        <w:tc>
          <w:tcPr>
            <w:tcW w:type="dxa" w:w="4536"/>
          </w:tcPr>
          <w:p>
            <w:pPr>
              <w:spacing w:before="20" w:after="20"/>
            </w:pPr>
            <w:r>
              <w:rPr>
                <w:rFonts w:ascii="Aptos" w:hAnsi="Aptos"/>
                <w:b w:val="0"/>
                <w:i w:val="0"/>
                <w:sz w:val="22"/>
              </w:rPr>
              <w:t>zapisanie na ścieżkę certyfikacyjną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60.</w:t>
            </w:r>
          </w:p>
        </w:tc>
        <w:tc>
          <w:tcPr>
            <w:tcW w:type="dxa" w:w="4536"/>
          </w:tcPr>
          <w:p>
            <w:pPr>
              <w:spacing w:before="20" w:after="20"/>
            </w:pPr>
            <w:r>
              <w:rPr>
                <w:rFonts w:ascii="Aptos" w:hAnsi="Aptos"/>
                <w:b w:val="0"/>
                <w:i w:val="0"/>
                <w:sz w:val="22"/>
              </w:rPr>
              <w:t>//C. ECTS sposób obliczania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61.</w:t>
            </w:r>
          </w:p>
        </w:tc>
        <w:tc>
          <w:tcPr>
            <w:tcW w:type="dxa" w:w="4536"/>
          </w:tcPr>
          <w:p>
            <w:pPr>
              <w:spacing w:before="20" w:after="20"/>
            </w:pPr>
            <w:r>
              <w:rPr>
                <w:rFonts w:ascii="Aptos" w:hAnsi="Aptos"/>
                <w:b w:val="0"/>
                <w:i w:val="0"/>
                <w:sz w:val="22"/>
              </w:rPr>
              <w:t>1 punkt ECTS przyznawany jest za 25-30 godzin pracy studenta. W obliczanie punktów ECTS włącza się: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62.</w:t>
            </w:r>
          </w:p>
        </w:tc>
        <w:tc>
          <w:tcPr>
            <w:tcW w:type="dxa" w:w="4536"/>
          </w:tcPr>
          <w:p>
            <w:pPr>
              <w:spacing w:before="20" w:after="20"/>
            </w:pPr>
            <w:r>
              <w:rPr>
                <w:rFonts w:ascii="Aptos" w:hAnsi="Aptos"/>
                <w:b w:val="0"/>
                <w:i w:val="0"/>
                <w:sz w:val="22"/>
              </w:rPr>
              <w:t>liczbę godzin poszczególnych przedmiotów w danym semestrze;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63.</w:t>
            </w:r>
          </w:p>
        </w:tc>
        <w:tc>
          <w:tcPr>
            <w:tcW w:type="dxa" w:w="4536"/>
          </w:tcPr>
          <w:p>
            <w:pPr>
              <w:spacing w:before="20" w:after="20"/>
            </w:pPr>
            <w:r>
              <w:rPr>
                <w:rFonts w:ascii="Aptos" w:hAnsi="Aptos"/>
                <w:b w:val="0"/>
                <w:i w:val="0"/>
                <w:sz w:val="22"/>
              </w:rPr>
              <w:t>czas, jaki student poświęcił na indywidualną naukę (w tym przygotowanie do zajęć, zbieranie materiałów czy pisanie prac zaliczeniowych);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64.</w:t>
            </w:r>
          </w:p>
        </w:tc>
        <w:tc>
          <w:tcPr>
            <w:tcW w:type="dxa" w:w="4536"/>
          </w:tcPr>
          <w:p>
            <w:pPr>
              <w:spacing w:before="20" w:after="20"/>
            </w:pPr>
            <w:r>
              <w:rPr>
                <w:rFonts w:ascii="Aptos" w:hAnsi="Aptos"/>
                <w:b w:val="0"/>
                <w:i w:val="0"/>
                <w:sz w:val="22"/>
              </w:rPr>
              <w:t>czas, jaki student poświęcił na przygotowanie do egzaminu i zaliczenie danego przedmiotu;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65.</w:t>
            </w:r>
          </w:p>
        </w:tc>
        <w:tc>
          <w:tcPr>
            <w:tcW w:type="dxa" w:w="4536"/>
          </w:tcPr>
          <w:p>
            <w:pPr>
              <w:spacing w:before="20" w:after="20"/>
            </w:pPr>
            <w:r>
              <w:rPr>
                <w:rFonts w:ascii="Aptos" w:hAnsi="Aptos"/>
                <w:b w:val="0"/>
                <w:i w:val="0"/>
                <w:sz w:val="22"/>
              </w:rPr>
              <w:t>liczbę godzin praktyk studenckich.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zaawansowane pojęcia probabilistyki i statystyki: rozkłady prawdopodobieństwa, estymację, testy hipotez i ich zastosowanie w uczeniu maszynowym. [K_W12]</w:t>
            </w:r>
          </w:p>
        </w:tc>
        <w:tc>
          <w:tcPr>
            <w:tcW w:type="dxa" w:w="3324"/>
          </w:tcPr>
          <w:p>
            <w:pPr>
              <w:spacing w:before="20" w:after="20"/>
            </w:pPr>
            <w:r>
              <w:rPr>
                <w:rFonts w:ascii="Aptos" w:hAnsi="Aptos"/>
                <w:b w:val="0"/>
                <w:i w:val="0"/>
                <w:sz w:val="22"/>
              </w:rPr>
              <w:t>Ćwiczenia / Laboratorium/Lektorat:; rozwiązywanie zadań; studia przypadków z bazy studiów przypadków opracowanych przez firmy MŚP lub będące efektem staży; warsztaty; Kryteria oceny; Ocena praktycznego zastosowania kwestii omawianych na wykładach. Studenci otrzymują zadania programistyczne do wykonania podczas zajęć (do zdobycia maks. 40 punktów, z gradacją 0.5 p.)</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zasady działania i zastosowania algorytmów uczenia maszynowego: regresja, klasyfikacja (SVM, drzewa decyzyjne, lasy losowe), klasteryzacja, redukcja wymiarowości (PCA) i metody ewaluacji modeli. [K_W12]</w:t>
            </w:r>
          </w:p>
        </w:tc>
        <w:tc>
          <w:tcPr>
            <w:tcW w:type="dxa" w:w="3324"/>
          </w:tcPr>
          <w:p>
            <w:pPr>
              <w:spacing w:before="20" w:after="20"/>
            </w:pPr>
            <w:r>
              <w:rPr>
                <w:rFonts w:ascii="Aptos" w:hAnsi="Aptos"/>
                <w:b w:val="0"/>
                <w:i w:val="0"/>
                <w:sz w:val="22"/>
              </w:rPr>
              <w:t>Ćwiczenia / Laboratorium/Lektorat:; rozwiązywanie zadań; studia przypadków z bazy studiów przypadków opracowanych przez firmy MŚP lub będące efektem staży; warsztaty; Kryteria oceny; Ocena praktycznego zastosowania kwestii omawianych na wykładach. Studenci otrzymują zadania programistyczne do wykonania podczas zajęć (do zdobycia maks. 40 punktów, z gradacją 0.5 p.)</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sztucznej inteligencji: głębokie sieci neuronowe (CNN, RNN, Transformer), transfer learning i zasady odpowiedzialnej AI. [K_W22]</w:t>
            </w:r>
          </w:p>
        </w:tc>
        <w:tc>
          <w:tcPr>
            <w:tcW w:type="dxa" w:w="3324"/>
          </w:tcPr>
          <w:p>
            <w:pPr>
              <w:spacing w:before="20" w:after="20"/>
            </w:pPr>
            <w:r>
              <w:rPr>
                <w:rFonts w:ascii="Aptos" w:hAnsi="Aptos"/>
                <w:b w:val="0"/>
                <w:i w:val="0"/>
                <w:sz w:val="22"/>
              </w:rPr>
              <w:t>Ćwiczenia / Laboratorium/Lektorat:; rozwiązywanie zadań; studia przypadków z bazy studiów przypadków opracowanych przez firmy MŚP lub będące efektem staży; warsztaty; Kryteria oceny; Ocena praktycznego zastosowania kwestii omawianych na wykładach. Studenci otrzymują zadania programistyczne do wykonania podczas zajęć (do zdobycia maks. 40 punktów, z gradacją 0.5 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zastosować aparat matematyczny (rachunek różniczkowy, algebrę liniową, statystykę) do implementacji i analizy algorytmów uczenia maszynowego w Pythonie (scikit-learn, PyTorch/TensorFlow). [K_U07]</w:t>
            </w:r>
          </w:p>
        </w:tc>
        <w:tc>
          <w:tcPr>
            <w:tcW w:type="dxa" w:w="3324"/>
          </w:tcPr>
          <w:p>
            <w:pPr>
              <w:spacing w:before="20" w:after="20"/>
            </w:pPr>
            <w:r>
              <w:rPr>
                <w:rFonts w:ascii="Aptos" w:hAnsi="Aptos"/>
                <w:b w:val="0"/>
                <w:i w:val="0"/>
                <w:sz w:val="22"/>
              </w:rPr>
              <w:t>Ćwiczenia / Laboratorium/Lektorat:; rozwiązywanie zadań; studia przypadków z bazy studiów przypadków opracowanych przez firmy MŚP lub będące efektem staży; warsztaty; Kryteria oceny; Ocena praktycznego zastosowania kwestii omawianych na wykładach. Studenci otrzymują zadania programistyczne do wykonania podczas zajęć (do zdobycia maks. 40 punktów, z gradacją 0.5 p.)</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z obszaru sztucznej inteligencji, zaprojektować pipeline danych, wytrenować, ocenić i zoptymalizować model ML/DL na danych rzeczywistych. [K_U29]</w:t>
            </w:r>
          </w:p>
        </w:tc>
        <w:tc>
          <w:tcPr>
            <w:tcW w:type="dxa" w:w="3324"/>
          </w:tcPr>
          <w:p>
            <w:pPr>
              <w:spacing w:before="20" w:after="20"/>
            </w:pPr>
            <w:r>
              <w:rPr>
                <w:rFonts w:ascii="Aptos" w:hAnsi="Aptos"/>
                <w:b w:val="0"/>
                <w:i w:val="0"/>
                <w:sz w:val="22"/>
              </w:rPr>
              <w:t>Ćwiczenia / Laboratorium/Lektorat:; rozwiązywanie zadań; studia przypadków z bazy studiów przypadków opracowanych przez firmy MŚP lub będące efektem staży; warsztaty; Kryteria oceny; Ocena praktycznego zastosowania kwestii omawianych na wykładach. Studenci otrzymują zadania programistyczne do wykonania podczas zajęć (do zdobycia maks. 40 punktów, z gradacją 0.5 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sztucznej inteligencji na rzecz rozwiązywania problemów naukowych i społecznych z uwzględnieniem zasad etycznej AI. [K_K01]</w:t>
            </w:r>
          </w:p>
        </w:tc>
        <w:tc>
          <w:tcPr>
            <w:tcW w:type="dxa" w:w="3324"/>
          </w:tcPr>
          <w:p>
            <w:pPr>
              <w:spacing w:before="20" w:after="20"/>
            </w:pPr>
            <w:r>
              <w:rPr>
                <w:rFonts w:ascii="Aptos" w:hAnsi="Aptos"/>
                <w:b w:val="0"/>
                <w:i w:val="0"/>
                <w:sz w:val="22"/>
              </w:rPr>
              <w:t>Ćwiczenia / Laboratorium/Lektorat:; rozwiązywanie zadań; studia przypadków z bazy studiów przypadków opracowanych przez firmy MŚP lub będące efektem staży; warsztaty; Kryteria oceny; Ocena praktycznego zastosowania kwestii omawianych na wykładach. Studenci otrzymują zadania programistyczne do wykonania podczas zajęć (do zdobycia maks. 40 punktów, z gradacją 0.5 p.)</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postępów w dziedzinie ML/AI i adaptowania nowych metod w praktyce inżynierskiej. [K_K03]</w:t>
            </w:r>
          </w:p>
        </w:tc>
        <w:tc>
          <w:tcPr>
            <w:tcW w:type="dxa" w:w="3324"/>
          </w:tcPr>
          <w:p>
            <w:pPr>
              <w:spacing w:before="20" w:after="20"/>
            </w:pPr>
            <w:r>
              <w:rPr>
                <w:rFonts w:ascii="Aptos" w:hAnsi="Aptos"/>
                <w:b w:val="0"/>
                <w:i w:val="0"/>
                <w:sz w:val="22"/>
              </w:rPr>
              <w:t>Ćwiczenia / Laboratorium/Lektorat:; rozwiązywanie zadań; studia przypadków z bazy studiów przypadków opracowanych przez firmy MŚP lub będące efektem staży; warsztaty; Kryteria oceny; Ocena praktycznego zastosowania kwestii omawianych na wykładach. Studenci otrzymują zadania programistyczne do wykonania podczas zajęć (do zdobycia maks. 40 punktów, z gradacją 0.5 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