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3</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59</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JAP2</w:t>
            </w:r>
          </w:p>
        </w:tc>
        <w:tc>
          <w:tcPr>
            <w:tcW w:type="dxa" w:w="4986"/>
          </w:tcPr>
          <w:p>
            <w:pPr>
              <w:spacing w:before="20" w:after="20"/>
            </w:pPr>
            <w:r>
              <w:rPr>
                <w:rFonts w:ascii="Aptos" w:hAnsi="Aptos"/>
                <w:b w:val="0"/>
                <w:i w:val="0"/>
                <w:sz w:val="22"/>
              </w:rPr>
              <w:t>Znajomość zagadnień z JAP2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Nauka znaków katakany: a,i,u,e,o /  ka,ki,ku,ke,ko,ga,gi,gu,ge,go / lekcja 4 – godziny i minuty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Nauka znaków katakany:  sa,shi,su,se,so,za,ji,zu,ze,zo /  nowe znaki kanji, słuchanie,partykuła wo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Nauka znaków katakany:  ta,chi,tsu,te,to,da,di,du,de,do ,na,ni,nu,ne,no,nauka znaków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Nauka znaków katakany :ha,hi,fu,he,ho,ba,bi,bu,be,bo,pa,pi,pu,pe / wypracowanie: mój dzień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Nauka znaków katakany: ma,mi,mu,me,mo, ya,yu,yo, Dodatki do katakany, lekcja 5 -budowanie zdań i pytań, partykuła ka i mo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Nauka znaków katakany: ra,ri,ru,re,ro,wa,wo,n   Lekcja 6, forma masenka i forma mashō, nowe słownictwo:kino, muzeum, sklep itp.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Nauka znaków katakany nowe znaki kanji , budowanie zdań, partykuła de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Kolokwium 1 (z katakany) / słuchanie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Nauka znaków katakany (dodatki) , budowanie dialogów z czasownikami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Dni tygodnia, miesiące i dni miesiąca,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Partykuły kara i made, słownictwo związane z miejscem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Środki transportu i partykuła de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Przymiotniki – i-przymiotniki, na-przymiotniki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Powtórzenie materiału z całego semestru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Kolokwium 2 (z całej katakany)</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Obecność na zajęciach – zgodnie z regulaminem 15% nieobecności nieustawiedliwionych, 15% nieobecności usprawiedliwionych; Prace pisemne – min. jedna praca na semestr.; Kolokwia/testy/kartkówki na podstawie opracowanego materiału – 1-2 na semestr (decyzja lektora); Wypowiedź ustna (o rodzaju decyduje lektor).; Przygotowywanie prac domowych oraz aktywne uczestnictwo w zajęciach.;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