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japoński 4</w:t>
            </w:r>
          </w:p>
        </w:tc>
        <w:tc>
          <w:tcPr>
            <w:tcW w:type="dxa" w:w="4986"/>
            <w:gridSpan w:val="2"/>
          </w:tcPr>
          <w:p>
            <w:pPr>
              <w:spacing w:before="20" w:after="20"/>
            </w:pPr>
            <w:r>
              <w:rPr>
                <w:rFonts w:ascii="Aptos" w:hAnsi="Aptos"/>
                <w:b w:val="0"/>
                <w:i w:val="0"/>
                <w:sz w:val="22"/>
              </w:rPr>
              <w:t>05.03.2026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JAP4</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8</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59</w:t>
            </w:r>
          </w:p>
        </w:tc>
        <w:tc>
          <w:tcPr>
            <w:tcW w:type="dxa" w:w="1994"/>
            <w:gridSpan w:val="2"/>
          </w:tcPr>
          <w:p>
            <w:pPr>
              <w:spacing w:before="20" w:after="20"/>
            </w:pPr>
            <w:r>
              <w:rPr>
                <w:rFonts w:ascii="Aptos" w:hAnsi="Aptos"/>
                <w:b w:val="0"/>
                <w:i w:val="0"/>
                <w:sz w:val="22"/>
              </w:rPr>
              <w:t>2.4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w:t>
            </w:r>
          </w:p>
          <w:p>
            <w:pPr>
              <w:spacing w:before="20" w:after="20"/>
            </w:pPr>
            <w:r>
              <w:rPr>
                <w:rFonts w:ascii="Aptos" w:hAnsi="Aptos"/>
                <w:b w:val="0"/>
                <w:sz w:val="22"/>
              </w:rPr>
              <w:t>• analiza tekstów z dyskusją, metoda projektów (projekt praktyczny), praca w grupach, dyskusja, rozwiązywanie zadań, burza mózgów, mind map praca grupowa nad projektem z wykorzystaniem nowoczesnych technik informatycznych,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Obecność na zajęciach – zgodnie z regulaminem 15% nieobecności nieustawiedliwionych, 15% nieobecności usprawiedliwionych</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1-2 na semestr (decyzja lektora)</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pisemne/testy/formę zaliczenia ustaloną przez lektora na podstawie poziomu grupy oraz pozytywna (min. 3.0) ocena łączna za pozostałe formy.</w:t>
            </w:r>
          </w:p>
        </w:tc>
        <w:tc>
          <w:tcPr>
            <w:tcW w:type="dxa" w:w="4986"/>
          </w:tcPr>
          <w:p>
            <w:pPr>
              <w:spacing w:before="20" w:after="20"/>
            </w:pPr>
            <w:r>
              <w:rPr>
                <w:rFonts w:ascii="Aptos" w:hAnsi="Aptos"/>
                <w:sz w:val="22"/>
              </w:rPr>
              <w:t>1. Obecność na zajęciach – zgodnie z regulaminem 15% nieobecności nieustawiedliwionych, 15% nieobecności usprawiedliwionych</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1-2 na semestr (decyzja lektora)</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pisemne/testy/formę zaliczenia ustaloną przez lektora na podstawie poziomu grupy oraz pozytywna (min. 3.0) ocena łączna za pozostałe formy.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JAP3</w:t>
            </w:r>
          </w:p>
        </w:tc>
        <w:tc>
          <w:tcPr>
            <w:tcW w:type="dxa" w:w="4986"/>
          </w:tcPr>
          <w:p>
            <w:pPr>
              <w:spacing w:before="20" w:after="20"/>
            </w:pPr>
            <w:r>
              <w:rPr>
                <w:rFonts w:ascii="Aptos" w:hAnsi="Aptos"/>
                <w:b w:val="0"/>
                <w:i w:val="0"/>
                <w:sz w:val="22"/>
              </w:rPr>
              <w:t>Znajomość zagadnień z JAP3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japońskiego od podstaw. Student  opanowuje język japoński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Japonii i krajach obszaru języka japońskiego.</w:t>
            </w:r>
          </w:p>
          <w:p>
            <w:pPr>
              <w:spacing w:before="80" w:after="20"/>
            </w:pPr>
            <w:r>
              <w:rPr>
                <w:rFonts w:ascii="Aptos" w:hAnsi="Aptos"/>
                <w:b/>
                <w:sz w:val="22"/>
              </w:rPr>
              <w:t>Abstrakt po angielsku:</w:t>
            </w:r>
          </w:p>
          <w:p>
            <w:pPr>
              <w:spacing w:before="20" w:after="20"/>
            </w:pPr>
            <w:r>
              <w:rPr>
                <w:rFonts w:ascii="Aptos" w:hAnsi="Aptos"/>
                <w:i/>
                <w:sz w:val="22"/>
              </w:rPr>
              <w:t>Japanese language instruction from scratch. Students acquire Japanese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Japan and Japanese-speaking regions.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Konstrukcja gramatyczna to omoimasu – wyrażanie opinii, ćwiczenia komunikacyjne.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Konstrukcja gramatyczna to iimasu – przekazywanie cudzej wypowiedzi, dialogi 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ćwiczenia. Nowe znaki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Konstrukcja gramatyczna to iu tokoro desu – opisywanie miejsca i sytuacji.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Konstrukcja gramatyczna to iwarete imasu – ćwiczenia, zadania ze słuchu 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mówienie. Nowe znaki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Konstrukcja gramatyczna you ni narimasu – opisywanie zmian i rezultatów.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Konstrukcja gramatyczna you ni shimasu – wyrażanie decyzji i postanowień.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Konstrukcja gramatyczna you ni shite kudasai – instrukcje i polecenia.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Konstrukcja gramatyczna you ni itte kudasai – przekazywanie próśb i poleceń.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Konstrukcja gramatyczna you ni narimashita – zmiany w czasie, ćwiczenia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komunikacyjne. Nowe znaki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Konstrukcja gramatyczna you ni shite imasu – opis zwyczajów i działań.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Konstrukcja gramatyczna you desu – wyrażanie przypuszczeń. Nowe znaki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Konstrukcja gramatyczna mitai desu – podobieństwo i przypuszczenia w języku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potocznym. Test 1 – gramatyka i słownictwo. Nowe znaki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Konstrukcja gramatyczna rashii desu – informacje zasłyszane.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18.</w:t>
            </w:r>
          </w:p>
        </w:tc>
        <w:tc>
          <w:tcPr>
            <w:tcW w:type="dxa" w:w="4536"/>
          </w:tcPr>
          <w:p>
            <w:pPr>
              <w:spacing w:before="20" w:after="20"/>
            </w:pPr>
            <w:r>
              <w:rPr>
                <w:rFonts w:ascii="Aptos" w:hAnsi="Aptos"/>
                <w:b w:val="0"/>
                <w:i w:val="0"/>
                <w:sz w:val="22"/>
              </w:rPr>
              <w:t>Konstrukcja gramatyczna sou desu – wrażenie na podstawie obserwacji. Nowe znaki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19.</w:t>
            </w:r>
          </w:p>
        </w:tc>
        <w:tc>
          <w:tcPr>
            <w:tcW w:type="dxa" w:w="4536"/>
          </w:tcPr>
          <w:p>
            <w:pPr>
              <w:spacing w:before="20" w:after="20"/>
            </w:pPr>
            <w:r>
              <w:rPr>
                <w:rFonts w:ascii="Aptos" w:hAnsi="Aptos"/>
                <w:b w:val="0"/>
                <w:i w:val="0"/>
                <w:sz w:val="22"/>
              </w:rPr>
              <w:t>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20.</w:t>
            </w:r>
          </w:p>
        </w:tc>
        <w:tc>
          <w:tcPr>
            <w:tcW w:type="dxa" w:w="4536"/>
          </w:tcPr>
          <w:p>
            <w:pPr>
              <w:spacing w:before="20" w:after="20"/>
            </w:pPr>
            <w:r>
              <w:rPr>
                <w:rFonts w:ascii="Aptos" w:hAnsi="Aptos"/>
                <w:b w:val="0"/>
                <w:i w:val="0"/>
                <w:sz w:val="22"/>
              </w:rPr>
              <w:t>Konstrukcja gramatyczna sou desu ka – reakcje na informacje i ćwiczenia dialogowe.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21.</w:t>
            </w:r>
          </w:p>
        </w:tc>
        <w:tc>
          <w:tcPr>
            <w:tcW w:type="dxa" w:w="4536"/>
          </w:tcPr>
          <w:p>
            <w:pPr>
              <w:spacing w:before="20" w:after="20"/>
            </w:pPr>
            <w:r>
              <w:rPr>
                <w:rFonts w:ascii="Aptos" w:hAnsi="Aptos"/>
                <w:b w:val="0"/>
                <w:i w:val="0"/>
                <w:sz w:val="22"/>
              </w:rPr>
              <w:t>Konstrukcja gramatyczna sou ni shimasu – podejmowanie decyzji. Nowe znaki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22.</w:t>
            </w:r>
          </w:p>
        </w:tc>
        <w:tc>
          <w:tcPr>
            <w:tcW w:type="dxa" w:w="4536"/>
          </w:tcPr>
          <w:p>
            <w:pPr>
              <w:spacing w:before="20" w:after="20"/>
            </w:pPr>
            <w:r>
              <w:rPr>
                <w:rFonts w:ascii="Aptos" w:hAnsi="Aptos"/>
                <w:b w:val="0"/>
                <w:i w:val="0"/>
                <w:sz w:val="22"/>
              </w:rPr>
              <w:t>Wypracowanie: Praca moich marzeń – przygotowanie słownictwa i konstrukcji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23.</w:t>
            </w:r>
          </w:p>
        </w:tc>
        <w:tc>
          <w:tcPr>
            <w:tcW w:type="dxa" w:w="4536"/>
          </w:tcPr>
          <w:p>
            <w:pPr>
              <w:spacing w:before="20" w:after="20"/>
            </w:pPr>
            <w:r>
              <w:rPr>
                <w:rFonts w:ascii="Aptos" w:hAnsi="Aptos"/>
                <w:b w:val="0"/>
                <w:i w:val="0"/>
                <w:sz w:val="22"/>
              </w:rPr>
              <w:t>gramatycznych.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24.</w:t>
            </w:r>
          </w:p>
        </w:tc>
        <w:tc>
          <w:tcPr>
            <w:tcW w:type="dxa" w:w="4536"/>
          </w:tcPr>
          <w:p>
            <w:pPr>
              <w:spacing w:before="20" w:after="20"/>
            </w:pPr>
            <w:r>
              <w:rPr>
                <w:rFonts w:ascii="Aptos" w:hAnsi="Aptos"/>
                <w:b w:val="0"/>
                <w:i w:val="0"/>
                <w:sz w:val="22"/>
              </w:rPr>
              <w:t>KOLOKWIUM KOŃCOWE - gramatyka i słownictwo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25.</w:t>
            </w:r>
          </w:p>
        </w:tc>
        <w:tc>
          <w:tcPr>
            <w:tcW w:type="dxa" w:w="4536"/>
          </w:tcPr>
          <w:p>
            <w:pPr>
              <w:spacing w:before="20" w:after="20"/>
            </w:pPr>
            <w:r>
              <w:rPr>
                <w:rFonts w:ascii="Aptos" w:hAnsi="Aptos"/>
                <w:b w:val="0"/>
                <w:i w:val="0"/>
                <w:sz w:val="22"/>
              </w:rPr>
              <w:t>Powtórzenie znaków kanji. Próbny test N4.</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L. Czernichowska-Kramarz Japoński w obrazkach. Słownik, rozmówki, gramatyka wyd. Edgar</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Materiały własne – przygotowane przez lektorkę Lindę Czernichowską-Kramarz na podstawie własnych pomysłów oraz różnych książek</w:t>
            </w:r>
          </w:p>
          <w:p>
            <w:pPr>
              <w:spacing w:before="20" w:after="20"/>
            </w:pPr>
            <w:r>
              <w:rPr>
                <w:rFonts w:ascii="Aptos" w:hAnsi="Aptos"/>
                <w:sz w:val="22"/>
              </w:rPr>
              <w:t>2. Minna no nihongo I – główny podręcznik  wyd. 3anetwork Japonia</w:t>
            </w:r>
          </w:p>
          <w:p>
            <w:pPr>
              <w:spacing w:before="20" w:after="20"/>
            </w:pPr>
            <w:r>
              <w:rPr>
                <w:rFonts w:ascii="Aptos" w:hAnsi="Aptos"/>
                <w:sz w:val="22"/>
              </w:rPr>
              <w:t>3. Minna no nihongo I choukai– słuchanie  wyd. 3anetwork Japonia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Obecność na zajęciach – zgodnie z regulaminem 15% nieobecności nieustawiedliwionych, 15% nieobecności usprawiedliwionych; Prace pisemne – min. jedna praca na semestr.; Kolokwia/testy/kartkówki na podstawie opracowanego materiału – 1-2 na semestr (decyzja lektora); Wypowiedź ustna (o rodzaju decyduje lektor).; Przygotowywanie prac domowych oraz aktywne uczestnictwo w zajęciach.; Kryteria zaliczenia: uzyskanie przynajmniej 51% możliwych punktów za prace pisemne/testy/formę zaliczenia ustaloną przez lektora na podstawie poziomu grupy oraz pozytywna (min. 3.0) ocena łączna za pozostałe formy.</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Obecność na zajęciach – zgodnie z regulaminem 15% nieobecności nieustawiedliwionych, 15% nieobecności usprawiedliwionych; Prace pisemne – min. jedna praca na semestr.; Kolokwia/testy/kartkówki na podstawie opracowanego materiału – 1-2 na semestr (decyzja lektora); Wypowiedź ustna (o rodzaju decyduje lektor).; Przygotowywanie prac domowych oraz aktywne uczestnictwo w zajęciach.; Kryteria zaliczenia: uzyskanie przynajmniej 51% możliwych punktów za prace pisemne/testy/formę zaliczenia ustaloną przez lektora na podstawie poziomu grupy oraz pozytywna (min. 3.0) ocena łączna za pozostałe formy.</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Obecność na zajęciach – zgodnie z regulaminem 15% nieobecności nieustawiedliwionych, 15% nieobecności usprawiedliwionych; Prace pisemne – min. jedna praca na semestr.; Kolokwia/testy/kartkówki na podstawie opracowanego materiału – 1-2 na semestr (decyzja lektora); Wypowiedź ustna (o rodzaju decyduje lektor).; Przygotowywanie prac domowych oraz aktywne uczestnictwo w zajęciach.; Kryteria zaliczenia: uzyskanie przynajmniej 51% możliwych punktów za prace pisemne/testy/formę zaliczenia ustaloną przez lektora na podstawie poziomu grupy oraz pozytywna (min. 3.0) ocena łączna za pozostałe formy.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pisać abstrakt, streszczenie, pisać wykres, diagram, list motywacyjny i CV wykorzystując słownictwo i struktury gramatyczne w odpowiednim kontekście.</w:t>
            </w:r>
          </w:p>
        </w:tc>
        <w:tc>
          <w:tcPr>
            <w:tcW w:type="dxa" w:w="3324"/>
          </w:tcPr>
          <w:p>
            <w:pPr>
              <w:spacing w:before="20" w:after="20"/>
            </w:pPr>
            <w:r>
              <w:rPr>
                <w:rFonts w:ascii="Aptos" w:hAnsi="Aptos"/>
                <w:b w:val="0"/>
                <w:i w:val="0"/>
                <w:sz w:val="22"/>
              </w:rPr>
              <w:t>Obecność na zajęciach – zgodnie z regulaminem 15% nieobecności nieustawiedliwionych, 15% nieobecności usprawiedliwionych; Prace pisemne – min. jedna praca na semestr.; Kolokwia/testy/kartkówki na podstawie opracowanego materiału – 1-2 na semestr (decyzja lektora); Wypowiedź ustna (o rodzaju decyduje lektor).; Przygotowywanie prac domowych oraz aktywne uczestnictwo w zajęciach.; Kryteria zaliczenia: uzyskanie przynajmniej 51% możliwych punktów za prace pisemne/testy/formę zaliczenia ustaloną przez lektora na podstawie poziomu grupy oraz pozytywna (min. 3.0) ocena łączna za pozostałe formy.</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wypowiedź ustną i pisemną poprawną pod względem logicznym i merytorycznym wdrażając słownictwo specjalistyczne i biznesowe</w:t>
            </w:r>
          </w:p>
        </w:tc>
        <w:tc>
          <w:tcPr>
            <w:tcW w:type="dxa" w:w="3324"/>
          </w:tcPr>
          <w:p>
            <w:pPr>
              <w:spacing w:before="20" w:after="20"/>
            </w:pPr>
            <w:r>
              <w:rPr>
                <w:rFonts w:ascii="Aptos" w:hAnsi="Aptos"/>
                <w:b w:val="0"/>
                <w:i w:val="0"/>
                <w:sz w:val="22"/>
              </w:rPr>
              <w:t>Obecność na zajęciach – zgodnie z regulaminem 15% nieobecności nieustawiedliwionych, 15% nieobecności usprawiedliwionych; Prace pisemne – min. jedna praca na semestr.; Kolokwia/testy/kartkówki na podstawie opracowanego materiału – 1-2 na semestr (decyzja lektora); Wypowiedź ustna (o rodzaju decyduje lektor).; Przygotowywanie prac domowych oraz aktywne uczestnictwo w zajęciach.; Kryteria zaliczenia: uzyskanie przynajmniej 51% możliwych punktów za prace pisemne/testy/formę zaliczenia ustaloną przez lektora na podstawie poziomu grupy oraz pozytywna (min. 3.0) ocena łączna za pozostałe formy.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Obecność na zajęciach – zgodnie z regulaminem 15% nieobecności nieustawiedliwionych, 15% nieobecności usprawiedliwionych; Prace pisemne – min. jedna praca na semestr.; Kolokwia/testy/kartkówki na podstawie opracowanego materiału – 1-2 na semestr (decyzja lektora); Wypowiedź ustna (o rodzaju decyduje lektor).; Przygotowywanie prac domowych oraz aktywne uczestnictwo w zajęciach.; Kryteria zaliczenia: uzyskanie przynajmniej 51% możliwych punktów za prace pisemne/testy/formę zaliczenia ustaloną przez lektora na podstawie poziomu grupy oraz pozytywna (min. 3.0) ocena łączna za pozostałe formy.</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Obecność na zajęciach – zgodnie z regulaminem 15% nieobecności nieustawiedliwionych, 15% nieobecności usprawiedliwionych; Prace pisemne – min. jedna praca na semestr.; Kolokwia/testy/kartkówki na podstawie opracowanego materiału – 1-2 na semestr (decyzja lektora); Wypowiedź ustna (o rodzaju decyduje lektor).; Przygotowywanie prac domowych oraz aktywne uczestnictwo w zajęciach.; Kryteria zaliczenia: uzyskanie przynajmniej 51% możliwych punktów za prace pisemne/testy/formę zaliczenia ustaloną przez lektora na podstawie poziomu grupy oraz pozytywna (min. 3.0) ocena łączna za pozostałe formy.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