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programistyczny realizowany indywidualnie lub w parach – 100%; Ocena projektu obejmuje: poprawność działania aplikacji, jakość i czytelność kodu, strukturę projektu, obsługę wyjątków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