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wykorzystanie paradygmatu funkcyjnego i obiektowego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wykorzystanie paradygmatu funkcyjnego i obiektowego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Scala i platformy JVM oraz konfiguracja środowiska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Podstawowe typy danych, wyrażenia, instrukcje sterujące i niemutowalność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Funkcje, funkcje anonimowe i funkcje wyższego rzędu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Kolekcje w Scali i operacje funkcyjne (map, flatMap, filter)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case class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Dziedziczenie, cechy (traits) i kompozycja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Dopasowanie wzorców (pattern matching)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Obsługa błędów: Option, Either, Try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i czytelność kodu w stylu funkcyjnym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wykorzystanie paradygmatu funkcyjnego i obiektowego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