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problemowy, poświęcony analizie kolejnych zagadnień omawianych w ramach przedmiotu; Ćwiczenia rozszerzone o projekty programistyczne poświęcone analizie leksykalnej i rozpoznawaniu języków przy pomocy automatów; zaliczenie ćwiczeń  wymaga zdobycia co najmniej  50% punktów możliwych do zdobycia na kolokwium oraz za zrealizowane projekty programistyczne; Warunkiem dopuszczenia do egzaminu jest zaliczenie ćwiczeń.; Warunkiem zdania egzaminu pisemnego jest zdobycie co najmniej  50%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