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(część wykładowa): pytania problemowe + zadania dotyczące DDD, architektury oktogonalnej, SOA oraz OAuth 2.1.; Praca na zajęciach (laboratoria): realizacja zadań cząstkowych, jakość kodu, poprawność architektury, terminowość.; Projekt: kompletność funkcjonalna, zgodność z założeniami (DDD + architektura oktogonalna), jakość testów (integracyjne + E2E), konteneryzacja i uruchamianie środowiska.; Ocena końcowa = składowa z kolokwium + składowa z laboratoriów (praca) + składowa z projektu.;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