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2Wykorzystanie driverów i motorów do sterowania więzami sztywnymi i łamalnymiĆwiczenia z burzenia budynków.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3Symulacje Soft-BodyBryły elastyczne o różnej sztywności, bryły odkształcające się po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4Zaawansowane ustawienia symulacji soft-bodyTworzenie kolizji samochodów.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5Symulacje ClothSymulowanie odzieży - skórzanej, gumowej, jedwabnej, dżinsowej i innej. Kolizje wewnętrzne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6Symulowanie odzieży na modelu ludzkim.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Od prostych ćwiczeń takich jak flaga do ubrania ludzi.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7Symulacje cząsteczkoweSymulowanie w modelach Newtonian, Boids, Fluid i Keyed. Animacje cząsteczkowe.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8Tworzenie animacji napisów i elementów graficznych z cząstek.Animacja wybuchających sztucznych ogni.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10Tworzenie trawnika lub pola zboża.Animacja trawy lub kłosów zboża w wielkiej skali.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12Symulacje cieczy ze zmienną gęstością.Efekt kropli wpadającej do wody.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13Symulacje dymu, ognia, wybuchy.Wysadzanie modelu uczelni lub inne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14Zaawansowane przypadki symulacji ognia i dymy.Ćwiczenie spalania kartki papieru.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wykład z elementami dyskusji z prezentacją multimedialną; praca indywidualna przy komputerze; Kryteria oceny; Projekty (oceny cząstkowe otrzymywane w trakcie semestru);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