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warsztaty; Kryteria oceny; 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