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wykład z elementami dyskusji z prezentacją multimedialną; burza mózgów; rozwiązywanie zadań; analiza przypadków; projekt praktyczny; Kryteria oceny; 50% Kolokwium pisemne;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