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semestralnego z DDD i architekturą oktogonalną; pisanie testów integracyjnych i E2E; konfiguracja konteneryzacji; przygotowanie do kolokwium z architektury.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 (jeśli używane w projekcie).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