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japoński 2</w:t>
            </w:r>
          </w:p>
        </w:tc>
        <w:tc>
          <w:tcPr>
            <w:tcW w:type="dxa" w:w="4986"/>
            <w:gridSpan w:val="2"/>
          </w:tcPr>
          <w:p>
            <w:pPr>
              <w:spacing w:before="20" w:after="20"/>
            </w:pPr>
            <w:r>
              <w:rPr>
                <w:rFonts w:ascii="Aptos" w:hAnsi="Aptos"/>
                <w:b w:val="0"/>
                <w:i w:val="0"/>
                <w:sz w:val="22"/>
              </w:rPr>
              <w:t>05.03.2026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JAP2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47</w:t>
            </w:r>
          </w:p>
        </w:tc>
        <w:tc>
          <w:tcPr>
            <w:tcW w:type="dxa" w:w="1994"/>
            <w:gridSpan w:val="2"/>
          </w:tcPr>
          <w:p>
            <w:pPr>
              <w:spacing w:before="20" w:after="20"/>
            </w:pPr>
            <w:r>
              <w:rPr>
                <w:rFonts w:ascii="Aptos" w:hAnsi="Aptos"/>
                <w:b w:val="0"/>
                <w:i w:val="0"/>
                <w:sz w:val="22"/>
              </w:rPr>
              <w:t>1.9</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pisma japońskiego (hiragana, katakana, kanji); ćwiczenia gramatyczne i słownikowe; przygotowanie do kolokwiów i testów; ćwiczenie konwersacji.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JAP1</w:t>
            </w:r>
          </w:p>
        </w:tc>
        <w:tc>
          <w:tcPr>
            <w:tcW w:type="dxa" w:w="4986"/>
          </w:tcPr>
          <w:p>
            <w:pPr>
              <w:spacing w:before="20" w:after="20"/>
            </w:pPr>
            <w:r>
              <w:rPr>
                <w:rFonts w:ascii="Aptos" w:hAnsi="Aptos"/>
                <w:b w:val="0"/>
                <w:i w:val="0"/>
                <w:sz w:val="22"/>
              </w:rPr>
              <w:t>Znajomość zagadnień z JAP1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japońskiego od podstaw. Student  opanowuje język japoński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Japonii i krajach obszaru języka japońskiego.</w:t>
            </w:r>
          </w:p>
          <w:p>
            <w:pPr>
              <w:spacing w:before="80" w:after="20"/>
            </w:pPr>
            <w:r>
              <w:rPr>
                <w:rFonts w:ascii="Aptos" w:hAnsi="Aptos"/>
                <w:b/>
                <w:sz w:val="22"/>
              </w:rPr>
              <w:t>Abstrakt po angielsku:</w:t>
            </w:r>
          </w:p>
          <w:p>
            <w:pPr>
              <w:spacing w:before="20" w:after="20"/>
            </w:pPr>
            <w:r>
              <w:rPr>
                <w:rFonts w:ascii="Aptos" w:hAnsi="Aptos"/>
                <w:i/>
                <w:sz w:val="22"/>
              </w:rPr>
              <w:t>Japanese language instruction from scratch. Students acquire Japanese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Japan and Japanese-speaking regions.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1.Nauka znaków katakany a,i,u,e,o , ka,ki,ku,ke,ko,ga,gi,gu,ge,go, sa,shi,su,se,so,za,ji,zu,ze,zo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Nauka znaków katakany ta,chi,tsu,te,to,da,di,du,de,do ,na,ni,nu,ne,no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Nauka znaków katakany ha,hi,fu,he,ho,ba,bi,bu,be,bo,pa,pi,pu,pe,po / wybrane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Nauka znaków katakany ma,mi,mu,me,mo, ya,yu,yo, ra,ri,ru,re,ro,wa,wo,n   / TEST (zdania z życia codziennego).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Dodatki do znaków katakany  (VA) (VI)  (VE)  (VO) WI WE  WO FA FI FE FO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Forma -te (omówienie wszystkich grup) / czas teraźniejszy – przyszły i przeszły (+zaprzeczenie) – powtórzenie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Dodatki do znaków katakany  TSA TSI TSE TSO SHE JE CHE TWU TI DWU DI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Forma -tekudasai, Forma -tekara, Forma te (do łączenia czasowników), praca pisemna (wypracowanie) – opisać osobę z obrazka.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  Forma -tekudasai, Forma -tekara, Forma te (do łączenia czasowników) – budowanie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  Choroby i objawy i związane z tym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  Lekcja pisania listu formalnego – praca pisemna.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  Partykuła kara/made, powtórzenie godzin, budowanie zdań opisujących od kiedy do kiedy dany obiekt jest otwarty.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  Kolory i rodzina i wszystkie kanji z tym tematem związane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  Rodzina – opisanie swojej rodziny / Słuchanie (słownictwo związane z rodziną).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  Opisanie domu towarowego i produktów znajdujących się w tym obiekcie, nauka liczenia pięter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16. Wybrane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17. Słownictwo związane z ubiorem itp. i czasowniki zakładania.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18. Słuchanie: jeden dzień bohatera, zakupy, 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19.  Słuchanie: porównania i opinia.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20.  Nowe znaki knaji i budowanie z nimi zdań.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21. Liczebniki i budowanie z nimi zdań + nowe znaki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22. Konstrukcja yori nohōga,motto ichiban ,nowe znaki kanji, ciekawostka: różne święta i dni wolne.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23.To co potrafimy i to czego nie potrafimy , czytanka o mieście w Brazylii , zadanie ze słuchu .</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24.</w:t>
            </w:r>
          </w:p>
        </w:tc>
        <w:tc>
          <w:tcPr>
            <w:tcW w:type="dxa" w:w="4536"/>
          </w:tcPr>
          <w:p>
            <w:pPr>
              <w:spacing w:before="20" w:after="20"/>
            </w:pPr>
            <w:r>
              <w:rPr>
                <w:rFonts w:ascii="Aptos" w:hAnsi="Aptos"/>
                <w:b w:val="0"/>
                <w:i w:val="0"/>
                <w:sz w:val="22"/>
              </w:rPr>
              <w:t>24.  Rozmowa na poczcie – jak wysłać list i przesyłkę i związane z tym słownictwo( paczka, polecony, przesyłka morska itp.), nowy czasownik: kakaru.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25.</w:t>
            </w:r>
          </w:p>
        </w:tc>
        <w:tc>
          <w:tcPr>
            <w:tcW w:type="dxa" w:w="4536"/>
          </w:tcPr>
          <w:p>
            <w:pPr>
              <w:spacing w:before="20" w:after="20"/>
            </w:pPr>
            <w:r>
              <w:rPr>
                <w:rFonts w:ascii="Aptos" w:hAnsi="Aptos"/>
                <w:b w:val="0"/>
                <w:i w:val="0"/>
                <w:sz w:val="22"/>
              </w:rPr>
              <w:t>25.  Wszystkie zastosowania partykuły de i budowanie zdań, ciekawostka o ogrodach japońskich.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26.</w:t>
            </w:r>
          </w:p>
        </w:tc>
        <w:tc>
          <w:tcPr>
            <w:tcW w:type="dxa" w:w="4536"/>
          </w:tcPr>
          <w:p>
            <w:pPr>
              <w:spacing w:before="20" w:after="20"/>
            </w:pPr>
            <w:r>
              <w:rPr>
                <w:rFonts w:ascii="Aptos" w:hAnsi="Aptos"/>
                <w:b w:val="0"/>
                <w:i w:val="0"/>
                <w:sz w:val="22"/>
              </w:rPr>
              <w:t>26.  Czytanka o ninja i związane z tym słownictwo, nowe kanji.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27.</w:t>
            </w:r>
          </w:p>
        </w:tc>
        <w:tc>
          <w:tcPr>
            <w:tcW w:type="dxa" w:w="4536"/>
          </w:tcPr>
          <w:p>
            <w:pPr>
              <w:spacing w:before="20" w:after="20"/>
            </w:pPr>
            <w:r>
              <w:rPr>
                <w:rFonts w:ascii="Aptos" w:hAnsi="Aptos"/>
                <w:b w:val="0"/>
                <w:i w:val="0"/>
                <w:sz w:val="22"/>
              </w:rPr>
              <w:t>27.  Omawianie różnych dialogów, zalety i wady  (Fast food), nowe słowa, interpretacja zdjęcia po japońsku.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28.</w:t>
            </w:r>
          </w:p>
        </w:tc>
        <w:tc>
          <w:tcPr>
            <w:tcW w:type="dxa" w:w="4536"/>
          </w:tcPr>
          <w:p>
            <w:pPr>
              <w:spacing w:before="20" w:after="20"/>
            </w:pPr>
            <w:r>
              <w:rPr>
                <w:rFonts w:ascii="Aptos" w:hAnsi="Aptos"/>
                <w:b w:val="0"/>
                <w:i w:val="0"/>
                <w:sz w:val="22"/>
              </w:rPr>
              <w:t>28.  Rozmowa na temat zainteresowań i wspomnień, nowe kanji, czytanka o miastach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29.</w:t>
            </w:r>
          </w:p>
        </w:tc>
        <w:tc>
          <w:tcPr>
            <w:tcW w:type="dxa" w:w="4536"/>
          </w:tcPr>
          <w:p>
            <w:pPr>
              <w:spacing w:before="20" w:after="20"/>
            </w:pPr>
            <w:r>
              <w:rPr>
                <w:rFonts w:ascii="Aptos" w:hAnsi="Aptos"/>
                <w:b w:val="0"/>
                <w:i w:val="0"/>
                <w:sz w:val="22"/>
              </w:rPr>
              <w:t>29.  Froma nai i budowanie z zdań, powtórzenie materiału z całego semestru.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30.</w:t>
            </w:r>
          </w:p>
        </w:tc>
        <w:tc>
          <w:tcPr>
            <w:tcW w:type="dxa" w:w="4536"/>
          </w:tcPr>
          <w:p>
            <w:pPr>
              <w:spacing w:before="20" w:after="20"/>
            </w:pPr>
            <w:r>
              <w:rPr>
                <w:rFonts w:ascii="Aptos" w:hAnsi="Aptos"/>
                <w:b w:val="0"/>
                <w:i w:val="0"/>
                <w:sz w:val="22"/>
              </w:rPr>
              <w:t>30.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L. Czernichowska-Kramarz Japoński w obrazkach. Słownik, rozmówki, gramatyka wyd. Edgar</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Materiały własne – przygotowane przez lektorkę Lindę Czernichowską-Kramarz na podstawie własnych pomysłów oraz różnych książek</w:t>
            </w:r>
          </w:p>
          <w:p>
            <w:pPr>
              <w:spacing w:before="20" w:after="20"/>
            </w:pPr>
            <w:r>
              <w:rPr>
                <w:rFonts w:ascii="Aptos" w:hAnsi="Aptos"/>
                <w:sz w:val="22"/>
              </w:rPr>
              <w:t>2. Minna no nihongo I – główny podręcznik  wyd. 3anetwork Japonia</w:t>
            </w:r>
          </w:p>
          <w:p>
            <w:pPr>
              <w:spacing w:before="20" w:after="20"/>
            </w:pPr>
            <w:r>
              <w:rPr>
                <w:rFonts w:ascii="Aptos" w:hAnsi="Aptos"/>
                <w:sz w:val="22"/>
              </w:rPr>
              <w:t>3. Minna no nihongo I choukai– słuchanie  wyd. 3anetwork Japonia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pisać abstrakt, streszczenie, pisać wykres, diagram, list motywacyjny i CV wykorzystując słownictwo i struktury gramatyczne w odpowiednim kontekście.</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wypowiedź ustną i pisemną poprawną pod względem logicznym i merytorycznym wdrażając słownictwo specjalistyczne i biznesowe</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