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japoński 4</w:t>
            </w:r>
          </w:p>
        </w:tc>
        <w:tc>
          <w:tcPr>
            <w:tcW w:type="dxa" w:w="4986"/>
            <w:gridSpan w:val="2"/>
          </w:tcPr>
          <w:p>
            <w:pPr>
              <w:spacing w:before="20" w:after="20"/>
            </w:pPr>
            <w:r>
              <w:rPr>
                <w:rFonts w:ascii="Aptos" w:hAnsi="Aptos"/>
                <w:b w:val="0"/>
                <w:i w:val="0"/>
                <w:sz w:val="22"/>
              </w:rPr>
              <w:t>05.03.2026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JAP4</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8</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Studium Języków Obcych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47</w:t>
            </w:r>
          </w:p>
        </w:tc>
        <w:tc>
          <w:tcPr>
            <w:tcW w:type="dxa" w:w="1994"/>
            <w:gridSpan w:val="2"/>
          </w:tcPr>
          <w:p>
            <w:pPr>
              <w:spacing w:before="20" w:after="20"/>
            </w:pPr>
            <w:r>
              <w:rPr>
                <w:rFonts w:ascii="Aptos" w:hAnsi="Aptos"/>
                <w:b w:val="0"/>
                <w:i w:val="0"/>
                <w:sz w:val="22"/>
              </w:rPr>
              <w:t>1.9</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pisma japońskiego; ćwiczenia gramatyczne i słownikowe na poziomie zaawansowanym; przygotowanie do kolokwiów i testów; ćwiczenie konwersacji.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JAP3</w:t>
            </w:r>
          </w:p>
        </w:tc>
        <w:tc>
          <w:tcPr>
            <w:tcW w:type="dxa" w:w="4986"/>
          </w:tcPr>
          <w:p>
            <w:pPr>
              <w:spacing w:before="20" w:after="20"/>
            </w:pPr>
            <w:r>
              <w:rPr>
                <w:rFonts w:ascii="Aptos" w:hAnsi="Aptos"/>
                <w:b w:val="0"/>
                <w:i w:val="0"/>
                <w:sz w:val="22"/>
              </w:rPr>
              <w:t>Znajomość zagadnień z JAP3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japońskiego od podstaw. Student  opanowuje język japoński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Japonii i krajach obszaru języka japońskiego.</w:t>
            </w:r>
          </w:p>
          <w:p>
            <w:pPr>
              <w:spacing w:before="80" w:after="20"/>
            </w:pPr>
            <w:r>
              <w:rPr>
                <w:rFonts w:ascii="Aptos" w:hAnsi="Aptos"/>
                <w:b/>
                <w:sz w:val="22"/>
              </w:rPr>
              <w:t>Abstrakt po angielsku:</w:t>
            </w:r>
          </w:p>
          <w:p>
            <w:pPr>
              <w:spacing w:before="20" w:after="20"/>
            </w:pPr>
            <w:r>
              <w:rPr>
                <w:rFonts w:ascii="Aptos" w:hAnsi="Aptos"/>
                <w:i/>
                <w:sz w:val="22"/>
              </w:rPr>
              <w:t>Japanese language instruction from scratch. Students acquire Japanese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Japan and Japanese-speaking regions.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Konstrukcja gramatyczna : ndesu, teitadakemasenka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Konstrukcja _shi,_shi / ćwiczenie pisemne: ogłoszenie w języku japońskim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Forma -ga dekimashita / ćwiczenie pisemne: opis postaci „wybrana postać z anime lub mangi”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Znaki kanji  i budowanie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Znaki kanji i budowanie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Czasowniki zakładania i zdejmowania – chakudatsudōshi powtórzenie i budowa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Znaki kanji i budowanie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Znaki kanji i budowanie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Nowe kanji i układanie do nich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Forma -tagatteimasu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Budowa zdań do formy -teshimau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Budowa zdań do formy -teoku,,-tearu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Partykuła de -  bnowe zastosowanie partykuły de + czytanka”trzęsienie ziemi w Japonii”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Rodzina i klasyfikatory-zadanie ze słuchu + czytanka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Nowe kanji i układanie do nich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Wypracowanie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17.</w:t>
            </w:r>
          </w:p>
        </w:tc>
        <w:tc>
          <w:tcPr>
            <w:tcW w:type="dxa" w:w="4536"/>
          </w:tcPr>
          <w:p>
            <w:pPr>
              <w:spacing w:before="20" w:after="20"/>
            </w:pPr>
            <w:r>
              <w:rPr>
                <w:rFonts w:ascii="Aptos" w:hAnsi="Aptos"/>
                <w:b w:val="0"/>
                <w:i w:val="0"/>
                <w:sz w:val="22"/>
              </w:rPr>
              <w:t>Kolokwium z kanji i gramatyki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18.</w:t>
            </w:r>
          </w:p>
        </w:tc>
        <w:tc>
          <w:tcPr>
            <w:tcW w:type="dxa" w:w="4536"/>
          </w:tcPr>
          <w:p>
            <w:pPr>
              <w:spacing w:before="20" w:after="20"/>
            </w:pPr>
            <w:r>
              <w:rPr>
                <w:rFonts w:ascii="Aptos" w:hAnsi="Aptos"/>
                <w:b w:val="0"/>
                <w:i w:val="0"/>
                <w:sz w:val="22"/>
              </w:rPr>
              <w:t>Budowa zdań do formy tsumori desu/yotei desu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19.</w:t>
            </w:r>
          </w:p>
        </w:tc>
        <w:tc>
          <w:tcPr>
            <w:tcW w:type="dxa" w:w="4536"/>
          </w:tcPr>
          <w:p>
            <w:pPr>
              <w:spacing w:before="20" w:after="20"/>
            </w:pPr>
            <w:r>
              <w:rPr>
                <w:rFonts w:ascii="Aptos" w:hAnsi="Aptos"/>
                <w:b w:val="0"/>
                <w:i w:val="0"/>
                <w:sz w:val="22"/>
              </w:rPr>
              <w:t>Klasyfikatory – omówienie wszystkich klasyfikatorów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20.</w:t>
            </w:r>
          </w:p>
        </w:tc>
        <w:tc>
          <w:tcPr>
            <w:tcW w:type="dxa" w:w="4536"/>
          </w:tcPr>
          <w:p>
            <w:pPr>
              <w:spacing w:before="20" w:after="20"/>
            </w:pPr>
            <w:r>
              <w:rPr>
                <w:rFonts w:ascii="Aptos" w:hAnsi="Aptos"/>
                <w:b w:val="0"/>
                <w:i w:val="0"/>
                <w:sz w:val="22"/>
              </w:rPr>
              <w:t>Zadanie ze słuchu – tematyka związana z klasyfikatorami i życia codziennego</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21.</w:t>
            </w:r>
          </w:p>
        </w:tc>
        <w:tc>
          <w:tcPr>
            <w:tcW w:type="dxa" w:w="4536"/>
          </w:tcPr>
          <w:p>
            <w:pPr>
              <w:spacing w:before="20" w:after="20"/>
            </w:pPr>
            <w:r>
              <w:rPr>
                <w:rFonts w:ascii="Aptos" w:hAnsi="Aptos"/>
                <w:b w:val="0"/>
                <w:i w:val="0"/>
                <w:sz w:val="22"/>
              </w:rPr>
              <w:t>Analiza tekstu – czytanka o robotach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22.</w:t>
            </w:r>
          </w:p>
        </w:tc>
        <w:tc>
          <w:tcPr>
            <w:tcW w:type="dxa" w:w="4536"/>
          </w:tcPr>
          <w:p>
            <w:pPr>
              <w:spacing w:before="20" w:after="20"/>
            </w:pPr>
            <w:r>
              <w:rPr>
                <w:rFonts w:ascii="Aptos" w:hAnsi="Aptos"/>
                <w:b w:val="0"/>
                <w:i w:val="0"/>
                <w:sz w:val="22"/>
              </w:rPr>
              <w:t>Próbne testy JLPTN4 ; kanji, gramatyka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23.</w:t>
            </w:r>
          </w:p>
        </w:tc>
        <w:tc>
          <w:tcPr>
            <w:tcW w:type="dxa" w:w="4536"/>
          </w:tcPr>
          <w:p>
            <w:pPr>
              <w:spacing w:before="20" w:after="20"/>
            </w:pPr>
            <w:r>
              <w:rPr>
                <w:rFonts w:ascii="Aptos" w:hAnsi="Aptos"/>
                <w:b w:val="0"/>
                <w:i w:val="0"/>
                <w:sz w:val="22"/>
              </w:rPr>
              <w:t>Próbne testy JLPTN4 ; czytanki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24.</w:t>
            </w:r>
          </w:p>
        </w:tc>
        <w:tc>
          <w:tcPr>
            <w:tcW w:type="dxa" w:w="4536"/>
          </w:tcPr>
          <w:p>
            <w:pPr>
              <w:spacing w:before="20" w:after="20"/>
            </w:pPr>
            <w:r>
              <w:rPr>
                <w:rFonts w:ascii="Aptos" w:hAnsi="Aptos"/>
                <w:b w:val="0"/>
                <w:i w:val="0"/>
                <w:sz w:val="22"/>
              </w:rPr>
              <w:t>Próbne testy JLPTN4 ; słuchanie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25.</w:t>
            </w:r>
          </w:p>
        </w:tc>
        <w:tc>
          <w:tcPr>
            <w:tcW w:type="dxa" w:w="4536"/>
          </w:tcPr>
          <w:p>
            <w:pPr>
              <w:spacing w:before="20" w:after="20"/>
            </w:pPr>
            <w:r>
              <w:rPr>
                <w:rFonts w:ascii="Aptos" w:hAnsi="Aptos"/>
                <w:b w:val="0"/>
                <w:i w:val="0"/>
                <w:sz w:val="22"/>
              </w:rPr>
              <w:t>Powtórzenie matu z całego semestru – budowanie zdań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26.</w:t>
            </w:r>
          </w:p>
        </w:tc>
        <w:tc>
          <w:tcPr>
            <w:tcW w:type="dxa" w:w="4536"/>
          </w:tcPr>
          <w:p>
            <w:pPr>
              <w:spacing w:before="20" w:after="20"/>
            </w:pPr>
            <w:r>
              <w:rPr>
                <w:rFonts w:ascii="Aptos" w:hAnsi="Aptos"/>
                <w:b w:val="0"/>
                <w:i w:val="0"/>
                <w:sz w:val="22"/>
              </w:rPr>
              <w:t>Różnica między teageru, temorau i tekureru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27.</w:t>
            </w:r>
          </w:p>
        </w:tc>
        <w:tc>
          <w:tcPr>
            <w:tcW w:type="dxa" w:w="4536"/>
          </w:tcPr>
          <w:p>
            <w:pPr>
              <w:spacing w:before="20" w:after="20"/>
            </w:pPr>
            <w:r>
              <w:rPr>
                <w:rFonts w:ascii="Aptos" w:hAnsi="Aptos"/>
                <w:b w:val="0"/>
                <w:i w:val="0"/>
                <w:sz w:val="22"/>
              </w:rPr>
              <w:t>Tryb warunkowy – ba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28.</w:t>
            </w:r>
          </w:p>
        </w:tc>
        <w:tc>
          <w:tcPr>
            <w:tcW w:type="dxa" w:w="4536"/>
          </w:tcPr>
          <w:p>
            <w:pPr>
              <w:spacing w:before="20" w:after="20"/>
            </w:pPr>
            <w:r>
              <w:rPr>
                <w:rFonts w:ascii="Aptos" w:hAnsi="Aptos"/>
                <w:b w:val="0"/>
                <w:i w:val="0"/>
                <w:sz w:val="22"/>
              </w:rPr>
              <w:t>Ćwiczenia z czasownikami przechodnimi/nieprzechodnimi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29.</w:t>
            </w:r>
          </w:p>
        </w:tc>
        <w:tc>
          <w:tcPr>
            <w:tcW w:type="dxa" w:w="4536"/>
          </w:tcPr>
          <w:p>
            <w:pPr>
              <w:spacing w:before="20" w:after="20"/>
            </w:pPr>
            <w:r>
              <w:rPr>
                <w:rFonts w:ascii="Aptos" w:hAnsi="Aptos"/>
                <w:b w:val="0"/>
                <w:i w:val="0"/>
                <w:sz w:val="22"/>
              </w:rPr>
              <w:t>Forma gramatyczna kamoshiremasen</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30.</w:t>
            </w:r>
          </w:p>
        </w:tc>
        <w:tc>
          <w:tcPr>
            <w:tcW w:type="dxa" w:w="4536"/>
          </w:tcPr>
          <w:p>
            <w:pPr>
              <w:spacing w:before="20" w:after="20"/>
            </w:pPr>
            <w:r>
              <w:rPr>
                <w:rFonts w:ascii="Aptos" w:hAnsi="Aptos"/>
                <w:b w:val="0"/>
                <w:i w:val="0"/>
                <w:sz w:val="22"/>
              </w:rPr>
              <w:t>Kolokwium zaliczeniowe</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L. Czernichowska-Kramarz Japoński w obrazkach. Słownik, rozmówki, gramatyka wyd. Edgar</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Materiały własne – przygotowane przez lektorkę Lindę Czernichowską-Kramarz na podstawie własnych pomysłów oraz różnych książek</w:t>
            </w:r>
          </w:p>
          <w:p>
            <w:pPr>
              <w:spacing w:before="20" w:after="20"/>
            </w:pPr>
            <w:r>
              <w:rPr>
                <w:rFonts w:ascii="Aptos" w:hAnsi="Aptos"/>
                <w:sz w:val="22"/>
              </w:rPr>
              <w:t>2. Minna no nihongo I – główny podręcznik  wyd. 3anetwork Japonia</w:t>
            </w:r>
          </w:p>
          <w:p>
            <w:pPr>
              <w:spacing w:before="20" w:after="20"/>
            </w:pPr>
            <w:r>
              <w:rPr>
                <w:rFonts w:ascii="Aptos" w:hAnsi="Aptos"/>
                <w:sz w:val="22"/>
              </w:rPr>
              <w:t>3. Minna no nihongo I choukai– słuchanie  wyd. 3anetwork Japonia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pisać abstrakt, streszczenie, pisać wykres, diagram, list motywacyjny i CV wykorzystując słownictwo i struktury gramatyczne w odpowiednim kontekście.</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wypowiedź ustną i pisemną poprawną pod względem logicznym i merytorycznym wdrażając słownictwo specjalistyczne i biznesowe</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