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Programowanie w języku Scala</w:t>
            </w:r>
          </w:p>
        </w:tc>
        <w:tc>
          <w:tcPr>
            <w:tcW w:type="dxa" w:w="4986"/>
            <w:gridSpan w:val="2"/>
          </w:tcPr>
          <w:p>
            <w:pPr>
              <w:spacing w:before="20" w:after="20"/>
            </w:pPr>
            <w:r>
              <w:rPr>
                <w:rFonts w:ascii="Aptos" w:hAnsi="Aptos"/>
                <w:b w:val="0"/>
                <w:i w:val="0"/>
                <w:sz w:val="22"/>
              </w:rPr>
              <w:t>20.02.2026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JSC</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do ustalenia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10</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25</w:t>
            </w:r>
          </w:p>
        </w:tc>
        <w:tc>
          <w:tcPr>
            <w:tcW w:type="dxa" w:w="1994"/>
            <w:gridSpan w:val="2"/>
          </w:tcPr>
          <w:p>
            <w:pPr>
              <w:spacing w:before="20" w:after="20"/>
            </w:pPr>
            <w:r>
              <w:rPr>
                <w:rFonts w:ascii="Aptos" w:hAnsi="Aptos"/>
                <w:b w:val="0"/>
                <w:i w:val="0"/>
                <w:sz w:val="22"/>
              </w:rPr>
              <w:t>1.0</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25</w:t>
            </w:r>
          </w:p>
        </w:tc>
        <w:tc>
          <w:tcPr>
            <w:tcW w:type="dxa" w:w="1994"/>
            <w:gridSpan w:val="2"/>
          </w:tcPr>
          <w:p>
            <w:pPr>
              <w:spacing w:before="20" w:after="20"/>
            </w:pPr>
            <w:r>
              <w:rPr>
                <w:rFonts w:ascii="Aptos" w:hAnsi="Aptos"/>
                <w:b w:val="0"/>
                <w:i w:val="0"/>
                <w:sz w:val="22"/>
              </w:rPr>
              <w:t>1.0</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aplikacji w języku Scala z wykorzystaniem paradygmatów funkcyjnego i obiektowego; dokumentacja kodu; przygotowanie projektu zaliczeniowego.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Podstawy Programowania</w:t>
            </w:r>
          </w:p>
        </w:tc>
        <w:tc>
          <w:tcPr>
            <w:tcW w:type="dxa" w:w="4986"/>
          </w:tcPr>
          <w:p>
            <w:pPr>
              <w:spacing w:before="20" w:after="20"/>
            </w:pPr>
            <w:r>
              <w:rPr>
                <w:rFonts w:ascii="Aptos" w:hAnsi="Aptos"/>
                <w:b w:val="0"/>
                <w:i w:val="0"/>
                <w:sz w:val="22"/>
              </w:rPr>
              <w:t>Znajomość programowania strukturalnego i obiektowego, umiejętność pisania prostych programów w języku wysokiego poziomu (np. Python, Java, C#)</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podstawami programowania w języku Scala, łączącym paradygmat obiektowy i funkcyjny, oraz wykształcenie umiejętności tworzenia prostych aplikacji działających na platformie JVM. Zajęcia kładą nacisk na niemutowalność danych, wyrażenia funkcyjne, dopasowanie wzorców oraz czytelny i bezpieczny kod. Przedmiot przygotowuje studentów do dalszej nauki technologii opartych na JVM oraz do pracy z nowoczesnymi językami funkcyjnymi.</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basics of programming in Scala, combining the object-oriented and functional paradigms, and to develop the ability to create simple applications running on the JVM platform. The course places emphasis on data immutability, functional expressions, pattern matching, and clear, safe code. It prepares students for further study of JVM-based technologies and for work with modern functional languages.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języka Scala i platformy JVM oraz konfiguracja środowiska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Podstawowe typy danych, wyrażenia, instrukcje sterujące i niemutowalność</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Funkcje, funkcje anonimowe i funkcje wyższego rzędu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Kolekcje w Scali i operacje funkcyjne (map, flatMap, filter)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Podstawy programowania obiektowego: klasy, obiekty, case class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Dziedziczenie, cechy (traits) i kompozycja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Dopasowanie wzorców (pattern matching)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Obsługa błędów: Option, Either, Try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Dobre praktyki i czytelność kodu w stylu funkcyjnym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Projekt programistyczny – implementacja i prezentacja</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Martin Odersky, Lex Spoon, Bill Venners, Programming in Scala</w:t>
            </w:r>
          </w:p>
          <w:p>
            <w:pPr>
              <w:spacing w:before="20" w:after="20"/>
            </w:pPr>
            <w:r>
              <w:rPr>
                <w:rFonts w:ascii="Aptos" w:hAnsi="Aptos"/>
                <w:sz w:val="22"/>
              </w:rPr>
              <w:t>2. Dean Wampler, Programming Scala</w:t>
            </w:r>
          </w:p>
          <w:p>
            <w:pPr>
              <w:spacing w:before="20" w:after="20"/>
            </w:pPr>
            <w:r>
              <w:rPr>
                <w:rFonts w:ascii="Aptos" w:hAnsi="Aptos"/>
                <w:sz w:val="22"/>
              </w:rPr>
              <w:t>3. Dokumentacja Scala: https://docs.scala-lang.org</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Paul Chiusano, Rúnar Bjarnason, Functional Programming in Scala</w:t>
            </w:r>
          </w:p>
          <w:p>
            <w:pPr>
              <w:spacing w:before="20" w:after="20"/>
            </w:pPr>
            <w:r>
              <w:rPr>
                <w:rFonts w:ascii="Aptos" w:hAnsi="Aptos"/>
                <w:sz w:val="22"/>
              </w:rPr>
              <w:t>2. Scala Exercises – materiały online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podstawowe konstrukcje języka Scala, różnice między paradygmatem obiektowym i funkcyjnym oraz zasady działania aplikacji na platformie JVM.</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tworzyć, kompilować i uruchamiać proste aplikacje w języku Scala, definiować funkcje i klasy, korzystać z kolekcji niemutowalnych oraz zaimplementować niewielki projekt programistyczny rozwiązujący praktyczny problem.</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potrafi samodzielnie planować i realizować projekt programistyczny, dbać o jakość kodu oraz świadomie dobierać narzędzia i paradygmaty do rozwiązywanego problemu.</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