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IML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implementacja i testowanie modeli predykcyjnych; analiza wyników i dostrajanie hiperparametrów.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uczenia maszynowego (w tym elementami uczenia głębokiego), głównie z wykorzystaniem sieci neuronowych (w tym sieci splotowych), a także z metodami programowania wybranych metod oraz praktycznym wykorzystaniem gotowych narzędzi.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of machine learning (including elements of deep learning), mainly using neural networks (including convolutional neural networks), as well as with methods for programming selected techniques and the practical use of ready-made tools.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Wiedza niedoskonała w uczeniu maszynowym. Metody radzenia sobie z niedoskonałością wiedzy. Wnioskowanie bayesowskie. Logika rozmyta.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Sieci jednokierunkowe jednowarstwowe. Budowa, metody uczenia, zastosowania, ograniczenia. Mapa wag.  Hiperparametry. Metryki. Kodowanie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Sieci autoasocjacyjne. Transfer learning. Walidacja krzyżowa. Elementy wyjaśnialnej sztucznej inteligencji.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Sieci rekurencyjne. Budowa, metody uczenia, zastosowania, ograniczenia. Pamięci asocjacyjne. Komórki LSTM i GRU.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Strategie gier dwuosobowych. Algorytm MINIMAX.  Funkcja heurystyczna. Przycinanie alfa-beta. Idea self-play.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Automaty komórkowe ze szczególnym uwzględnieniem ich zastosowania w uczeniu maszynowym.</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15. Elementy języka Prolog. Zapis predykatów. Wnioskowanie wstecz i w przód.</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 A. lista dotychczas zaproponowanych metod dydaktycznych; można zaproponować inne.</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wykład konwersatoryjny (z elementami dyskusji)</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wykład z prezentacją multimedialną</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wykład z prezentacją oprogramowania</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warsztaty</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Ćwiczenia / Laboratorium/Lektorat:</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analiza tekstów z dyskusją</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metoda projektów (projekt praktyczny)</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praca w grupach</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dyskusja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rozwiązywanie zadań</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burza mózgów</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mind map</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puzzle learning</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studia przypadków z bazy studiów przypadków opracowanych przez firmy MŚP lub będące efektem staży</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praca grupowa nad projektem z wykorzystaniem nowoczesnych technik informatycznych</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warsztaty</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 B. lista dotychczas zaproponowanych metod weryfikacji; można zaproponować inne.</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sprawdziany wstępne „wejściówki”</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kolokwium</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kolokwium końcowe</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egzamin pisemny</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egzamin pisemny - test wyboru</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egzamin pisemny - tekst z lukami</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egzamin pisemny z zadaniami problemowymi</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egzamin pisemny ze studium przypadku</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egzamin ustny</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końcowe sprawozdanie z pracy w zespole</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prezentacja samodzielnej pracy semestralnej</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prezentacja elementu zespołowej pracy semestralnej</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prezentacja projektu i dokumentacji</w:t>
            </w:r>
          </w:p>
        </w:tc>
      </w:tr>
      <w:tr>
        <w:tc>
          <w:tcPr>
            <w:tcW w:type="dxa" w:w="680"/>
          </w:tcPr>
          <w:p>
            <w:pPr>
              <w:spacing w:before="20" w:after="20"/>
            </w:pPr>
            <w:r>
              <w:rPr>
                <w:rFonts w:ascii="Aptos" w:hAnsi="Aptos"/>
                <w:b w:val="0"/>
                <w:i w:val="0"/>
                <w:sz w:val="22"/>
              </w:rPr>
              <w:t>49.</w:t>
            </w:r>
          </w:p>
        </w:tc>
        <w:tc>
          <w:tcPr>
            <w:tcW w:type="dxa" w:w="8788"/>
          </w:tcPr>
          <w:p>
            <w:pPr>
              <w:spacing w:before="20" w:after="20"/>
            </w:pPr>
            <w:r>
              <w:rPr>
                <w:rFonts w:ascii="Aptos" w:hAnsi="Aptos"/>
                <w:b w:val="0"/>
                <w:i w:val="0"/>
                <w:sz w:val="22"/>
              </w:rPr>
              <w:t>prezentacja mini-projektu</w:t>
            </w:r>
          </w:p>
        </w:tc>
      </w:tr>
      <w:tr>
        <w:tc>
          <w:tcPr>
            <w:tcW w:type="dxa" w:w="680"/>
          </w:tcPr>
          <w:p>
            <w:pPr>
              <w:spacing w:before="20" w:after="20"/>
            </w:pPr>
            <w:r>
              <w:rPr>
                <w:rFonts w:ascii="Aptos" w:hAnsi="Aptos"/>
                <w:b w:val="0"/>
                <w:i w:val="0"/>
                <w:sz w:val="22"/>
              </w:rPr>
              <w:t>50.</w:t>
            </w:r>
          </w:p>
        </w:tc>
        <w:tc>
          <w:tcPr>
            <w:tcW w:type="dxa" w:w="8788"/>
          </w:tcPr>
          <w:p>
            <w:pPr>
              <w:spacing w:before="20" w:after="20"/>
            </w:pPr>
            <w:r>
              <w:rPr>
                <w:rFonts w:ascii="Aptos" w:hAnsi="Aptos"/>
                <w:b w:val="0"/>
                <w:i w:val="0"/>
                <w:sz w:val="22"/>
              </w:rPr>
              <w:t>obrona projektu</w:t>
            </w:r>
          </w:p>
        </w:tc>
      </w:tr>
      <w:tr>
        <w:tc>
          <w:tcPr>
            <w:tcW w:type="dxa" w:w="680"/>
          </w:tcPr>
          <w:p>
            <w:pPr>
              <w:spacing w:before="20" w:after="20"/>
            </w:pPr>
            <w:r>
              <w:rPr>
                <w:rFonts w:ascii="Aptos" w:hAnsi="Aptos"/>
                <w:b w:val="0"/>
                <w:i w:val="0"/>
                <w:sz w:val="22"/>
              </w:rPr>
              <w:t>51.</w:t>
            </w:r>
          </w:p>
        </w:tc>
        <w:tc>
          <w:tcPr>
            <w:tcW w:type="dxa" w:w="8788"/>
          </w:tcPr>
          <w:p>
            <w:pPr>
              <w:spacing w:before="20" w:after="20"/>
            </w:pPr>
            <w:r>
              <w:rPr>
                <w:rFonts w:ascii="Aptos" w:hAnsi="Aptos"/>
                <w:b w:val="0"/>
                <w:i w:val="0"/>
                <w:sz w:val="22"/>
              </w:rPr>
              <w:t>rezultaty gry strategicznej</w:t>
            </w:r>
          </w:p>
        </w:tc>
      </w:tr>
      <w:tr>
        <w:tc>
          <w:tcPr>
            <w:tcW w:type="dxa" w:w="680"/>
          </w:tcPr>
          <w:p>
            <w:pPr>
              <w:spacing w:before="20" w:after="20"/>
            </w:pPr>
            <w:r>
              <w:rPr>
                <w:rFonts w:ascii="Aptos" w:hAnsi="Aptos"/>
                <w:b w:val="0"/>
                <w:i w:val="0"/>
                <w:sz w:val="22"/>
              </w:rPr>
              <w:t>52.</w:t>
            </w:r>
          </w:p>
        </w:tc>
        <w:tc>
          <w:tcPr>
            <w:tcW w:type="dxa" w:w="8788"/>
          </w:tcPr>
          <w:p>
            <w:pPr>
              <w:spacing w:before="20" w:after="20"/>
            </w:pPr>
            <w:r>
              <w:rPr>
                <w:rFonts w:ascii="Aptos" w:hAnsi="Aptos"/>
                <w:b w:val="0"/>
                <w:i w:val="0"/>
                <w:sz w:val="22"/>
              </w:rPr>
              <w:t>ocena pracy podczas ćwiczenia</w:t>
            </w:r>
          </w:p>
        </w:tc>
      </w:tr>
      <w:tr>
        <w:tc>
          <w:tcPr>
            <w:tcW w:type="dxa" w:w="680"/>
          </w:tcPr>
          <w:p>
            <w:pPr>
              <w:spacing w:before="20" w:after="20"/>
            </w:pPr>
            <w:r>
              <w:rPr>
                <w:rFonts w:ascii="Aptos" w:hAnsi="Aptos"/>
                <w:b w:val="0"/>
                <w:i w:val="0"/>
                <w:sz w:val="22"/>
              </w:rPr>
              <w:t>53.</w:t>
            </w:r>
          </w:p>
        </w:tc>
        <w:tc>
          <w:tcPr>
            <w:tcW w:type="dxa" w:w="8788"/>
          </w:tcPr>
          <w:p>
            <w:pPr>
              <w:spacing w:before="20" w:after="20"/>
            </w:pPr>
            <w:r>
              <w:rPr>
                <w:rFonts w:ascii="Aptos" w:hAnsi="Aptos"/>
                <w:b w:val="0"/>
                <w:i w:val="0"/>
                <w:sz w:val="22"/>
              </w:rPr>
              <w:t>raport z wykonanego zadania</w:t>
            </w:r>
          </w:p>
        </w:tc>
      </w:tr>
      <w:tr>
        <w:tc>
          <w:tcPr>
            <w:tcW w:type="dxa" w:w="680"/>
          </w:tcPr>
          <w:p>
            <w:pPr>
              <w:spacing w:before="20" w:after="20"/>
            </w:pPr>
            <w:r>
              <w:rPr>
                <w:rFonts w:ascii="Aptos" w:hAnsi="Aptos"/>
                <w:b w:val="0"/>
                <w:i w:val="0"/>
                <w:sz w:val="22"/>
              </w:rPr>
              <w:t>54.</w:t>
            </w:r>
          </w:p>
        </w:tc>
        <w:tc>
          <w:tcPr>
            <w:tcW w:type="dxa" w:w="8788"/>
          </w:tcPr>
          <w:p>
            <w:pPr>
              <w:spacing w:before="20" w:after="20"/>
            </w:pPr>
            <w:r>
              <w:rPr>
                <w:rFonts w:ascii="Aptos" w:hAnsi="Aptos"/>
                <w:b w:val="0"/>
                <w:i w:val="0"/>
                <w:sz w:val="22"/>
              </w:rPr>
              <w:t>ocena sporządzonego dokumentu</w:t>
            </w:r>
          </w:p>
        </w:tc>
      </w:tr>
      <w:tr>
        <w:tc>
          <w:tcPr>
            <w:tcW w:type="dxa" w:w="680"/>
          </w:tcPr>
          <w:p>
            <w:pPr>
              <w:spacing w:before="20" w:after="20"/>
            </w:pPr>
            <w:r>
              <w:rPr>
                <w:rFonts w:ascii="Aptos" w:hAnsi="Aptos"/>
                <w:b w:val="0"/>
                <w:i w:val="0"/>
                <w:sz w:val="22"/>
              </w:rPr>
              <w:t>55.</w:t>
            </w:r>
          </w:p>
        </w:tc>
        <w:tc>
          <w:tcPr>
            <w:tcW w:type="dxa" w:w="8788"/>
          </w:tcPr>
          <w:p>
            <w:pPr>
              <w:spacing w:before="20" w:after="20"/>
            </w:pPr>
            <w:r>
              <w:rPr>
                <w:rFonts w:ascii="Aptos" w:hAnsi="Aptos"/>
                <w:b w:val="0"/>
                <w:i w:val="0"/>
                <w:sz w:val="22"/>
              </w:rPr>
              <w:t>ocena sporządzonego oprogramowania</w:t>
            </w:r>
          </w:p>
        </w:tc>
      </w:tr>
      <w:tr>
        <w:tc>
          <w:tcPr>
            <w:tcW w:type="dxa" w:w="680"/>
          </w:tcPr>
          <w:p>
            <w:pPr>
              <w:spacing w:before="20" w:after="20"/>
            </w:pPr>
            <w:r>
              <w:rPr>
                <w:rFonts w:ascii="Aptos" w:hAnsi="Aptos"/>
                <w:b w:val="0"/>
                <w:i w:val="0"/>
                <w:sz w:val="22"/>
              </w:rPr>
              <w:t>56.</w:t>
            </w:r>
          </w:p>
        </w:tc>
        <w:tc>
          <w:tcPr>
            <w:tcW w:type="dxa" w:w="8788"/>
          </w:tcPr>
          <w:p>
            <w:pPr>
              <w:spacing w:before="20" w:after="20"/>
            </w:pPr>
            <w:r>
              <w:rPr>
                <w:rFonts w:ascii="Aptos" w:hAnsi="Aptos"/>
                <w:b w:val="0"/>
                <w:i w:val="0"/>
                <w:sz w:val="22"/>
              </w:rPr>
              <w:t>wskazanie źródeł użytych materiałów</w:t>
            </w:r>
          </w:p>
        </w:tc>
      </w:tr>
      <w:tr>
        <w:tc>
          <w:tcPr>
            <w:tcW w:type="dxa" w:w="680"/>
          </w:tcPr>
          <w:p>
            <w:pPr>
              <w:spacing w:before="20" w:after="20"/>
            </w:pPr>
            <w:r>
              <w:rPr>
                <w:rFonts w:ascii="Aptos" w:hAnsi="Aptos"/>
                <w:b w:val="0"/>
                <w:i w:val="0"/>
                <w:sz w:val="22"/>
              </w:rPr>
              <w:t>57.</w:t>
            </w:r>
          </w:p>
        </w:tc>
        <w:tc>
          <w:tcPr>
            <w:tcW w:type="dxa" w:w="8788"/>
          </w:tcPr>
          <w:p>
            <w:pPr>
              <w:spacing w:before="20" w:after="20"/>
            </w:pPr>
            <w:r>
              <w:rPr>
                <w:rFonts w:ascii="Aptos" w:hAnsi="Aptos"/>
                <w:b w:val="0"/>
                <w:i w:val="0"/>
                <w:sz w:val="22"/>
              </w:rPr>
              <w:t>kwestionariusz wywiadu</w:t>
            </w:r>
          </w:p>
        </w:tc>
      </w:tr>
      <w:tr>
        <w:tc>
          <w:tcPr>
            <w:tcW w:type="dxa" w:w="680"/>
          </w:tcPr>
          <w:p>
            <w:pPr>
              <w:spacing w:before="20" w:after="20"/>
            </w:pPr>
            <w:r>
              <w:rPr>
                <w:rFonts w:ascii="Aptos" w:hAnsi="Aptos"/>
                <w:b w:val="0"/>
                <w:i w:val="0"/>
                <w:sz w:val="22"/>
              </w:rPr>
              <w:t>58.</w:t>
            </w:r>
          </w:p>
        </w:tc>
        <w:tc>
          <w:tcPr>
            <w:tcW w:type="dxa" w:w="8788"/>
          </w:tcPr>
          <w:p>
            <w:pPr>
              <w:spacing w:before="20" w:after="20"/>
            </w:pPr>
            <w:r>
              <w:rPr>
                <w:rFonts w:ascii="Aptos" w:hAnsi="Aptos"/>
                <w:b w:val="0"/>
                <w:i w:val="0"/>
                <w:sz w:val="22"/>
              </w:rPr>
              <w:t>sprawozdanie z rozmowy</w:t>
            </w:r>
          </w:p>
        </w:tc>
      </w:tr>
      <w:tr>
        <w:tc>
          <w:tcPr>
            <w:tcW w:type="dxa" w:w="680"/>
          </w:tcPr>
          <w:p>
            <w:pPr>
              <w:spacing w:before="20" w:after="20"/>
            </w:pPr>
            <w:r>
              <w:rPr>
                <w:rFonts w:ascii="Aptos" w:hAnsi="Aptos"/>
                <w:b w:val="0"/>
                <w:i w:val="0"/>
                <w:sz w:val="22"/>
              </w:rPr>
              <w:t>59.</w:t>
            </w:r>
          </w:p>
        </w:tc>
        <w:tc>
          <w:tcPr>
            <w:tcW w:type="dxa" w:w="8788"/>
          </w:tcPr>
          <w:p>
            <w:pPr>
              <w:spacing w:before="20" w:after="20"/>
            </w:pPr>
            <w:r>
              <w:rPr>
                <w:rFonts w:ascii="Aptos" w:hAnsi="Aptos"/>
                <w:b w:val="0"/>
                <w:i w:val="0"/>
                <w:sz w:val="22"/>
              </w:rPr>
              <w:t>zapisanie na ścieżkę certyfikacyjną</w:t>
            </w:r>
          </w:p>
        </w:tc>
      </w:tr>
      <w:tr>
        <w:tc>
          <w:tcPr>
            <w:tcW w:type="dxa" w:w="680"/>
          </w:tcPr>
          <w:p>
            <w:pPr>
              <w:spacing w:before="20" w:after="20"/>
            </w:pPr>
            <w:r>
              <w:rPr>
                <w:rFonts w:ascii="Aptos" w:hAnsi="Aptos"/>
                <w:b w:val="0"/>
                <w:i w:val="0"/>
                <w:sz w:val="22"/>
              </w:rPr>
              <w:t>60.</w:t>
            </w:r>
          </w:p>
        </w:tc>
        <w:tc>
          <w:tcPr>
            <w:tcW w:type="dxa" w:w="8788"/>
          </w:tcPr>
          <w:p>
            <w:pPr>
              <w:spacing w:before="20" w:after="20"/>
            </w:pPr>
            <w:r>
              <w:rPr>
                <w:rFonts w:ascii="Aptos" w:hAnsi="Aptos"/>
                <w:b w:val="0"/>
                <w:i w:val="0"/>
                <w:sz w:val="22"/>
              </w:rPr>
              <w:t>//C. ECTS sposób obliczania</w:t>
            </w:r>
          </w:p>
        </w:tc>
      </w:tr>
      <w:tr>
        <w:tc>
          <w:tcPr>
            <w:tcW w:type="dxa" w:w="680"/>
          </w:tcPr>
          <w:p>
            <w:pPr>
              <w:spacing w:before="20" w:after="20"/>
            </w:pPr>
            <w:r>
              <w:rPr>
                <w:rFonts w:ascii="Aptos" w:hAnsi="Aptos"/>
                <w:b w:val="0"/>
                <w:i w:val="0"/>
                <w:sz w:val="22"/>
              </w:rPr>
              <w:t>61.</w:t>
            </w:r>
          </w:p>
        </w:tc>
        <w:tc>
          <w:tcPr>
            <w:tcW w:type="dxa" w:w="8788"/>
          </w:tcPr>
          <w:p>
            <w:pPr>
              <w:spacing w:before="20" w:after="20"/>
            </w:pPr>
            <w:r>
              <w:rPr>
                <w:rFonts w:ascii="Aptos" w:hAnsi="Aptos"/>
                <w:b w:val="0"/>
                <w:i w:val="0"/>
                <w:sz w:val="22"/>
              </w:rPr>
              <w:t>1 punkt ECTS przyznawany jest za 25-30 godzin pracy studenta. W obliczanie punktów ECTS włącza się:</w:t>
            </w:r>
          </w:p>
        </w:tc>
      </w:tr>
      <w:tr>
        <w:tc>
          <w:tcPr>
            <w:tcW w:type="dxa" w:w="680"/>
          </w:tcPr>
          <w:p>
            <w:pPr>
              <w:spacing w:before="20" w:after="20"/>
            </w:pPr>
            <w:r>
              <w:rPr>
                <w:rFonts w:ascii="Aptos" w:hAnsi="Aptos"/>
                <w:b w:val="0"/>
                <w:i w:val="0"/>
                <w:sz w:val="22"/>
              </w:rPr>
              <w:t>62.</w:t>
            </w:r>
          </w:p>
        </w:tc>
        <w:tc>
          <w:tcPr>
            <w:tcW w:type="dxa" w:w="8788"/>
          </w:tcPr>
          <w:p>
            <w:pPr>
              <w:spacing w:before="20" w:after="20"/>
            </w:pPr>
            <w:r>
              <w:rPr>
                <w:rFonts w:ascii="Aptos" w:hAnsi="Aptos"/>
                <w:b w:val="0"/>
                <w:i w:val="0"/>
                <w:sz w:val="22"/>
              </w:rPr>
              <w:t>liczbę godzin poszczególnych przedmiotów w danym semestrze;</w:t>
            </w:r>
          </w:p>
        </w:tc>
      </w:tr>
      <w:tr>
        <w:tc>
          <w:tcPr>
            <w:tcW w:type="dxa" w:w="680"/>
          </w:tcPr>
          <w:p>
            <w:pPr>
              <w:spacing w:before="20" w:after="20"/>
            </w:pPr>
            <w:r>
              <w:rPr>
                <w:rFonts w:ascii="Aptos" w:hAnsi="Aptos"/>
                <w:b w:val="0"/>
                <w:i w:val="0"/>
                <w:sz w:val="22"/>
              </w:rPr>
              <w:t>63.</w:t>
            </w:r>
          </w:p>
        </w:tc>
        <w:tc>
          <w:tcPr>
            <w:tcW w:type="dxa" w:w="8788"/>
          </w:tcPr>
          <w:p>
            <w:pPr>
              <w:spacing w:before="20" w:after="20"/>
            </w:pPr>
            <w:r>
              <w:rPr>
                <w:rFonts w:ascii="Aptos" w:hAnsi="Aptos"/>
                <w:b w:val="0"/>
                <w:i w:val="0"/>
                <w:sz w:val="22"/>
              </w:rPr>
              <w:t>czas, jaki student poświęcił na indywidualną naukę (w tym przygotowanie do zajęć, zbieranie materiałów czy pisanie prac zaliczeniowych);</w:t>
            </w:r>
          </w:p>
        </w:tc>
      </w:tr>
      <w:tr>
        <w:tc>
          <w:tcPr>
            <w:tcW w:type="dxa" w:w="680"/>
          </w:tcPr>
          <w:p>
            <w:pPr>
              <w:spacing w:before="20" w:after="20"/>
            </w:pPr>
            <w:r>
              <w:rPr>
                <w:rFonts w:ascii="Aptos" w:hAnsi="Aptos"/>
                <w:b w:val="0"/>
                <w:i w:val="0"/>
                <w:sz w:val="22"/>
              </w:rPr>
              <w:t>64.</w:t>
            </w:r>
          </w:p>
        </w:tc>
        <w:tc>
          <w:tcPr>
            <w:tcW w:type="dxa" w:w="8788"/>
          </w:tcPr>
          <w:p>
            <w:pPr>
              <w:spacing w:before="20" w:after="20"/>
            </w:pPr>
            <w:r>
              <w:rPr>
                <w:rFonts w:ascii="Aptos" w:hAnsi="Aptos"/>
                <w:b w:val="0"/>
                <w:i w:val="0"/>
                <w:sz w:val="22"/>
              </w:rPr>
              <w:t>czas, jaki student poświęcił na przygotowanie do egzaminu i zaliczenie danego przedmiotu;</w:t>
            </w:r>
          </w:p>
        </w:tc>
      </w:tr>
      <w:tr>
        <w:tc>
          <w:tcPr>
            <w:tcW w:type="dxa" w:w="680"/>
          </w:tcPr>
          <w:p>
            <w:pPr>
              <w:spacing w:before="20" w:after="20"/>
            </w:pPr>
            <w:r>
              <w:rPr>
                <w:rFonts w:ascii="Aptos" w:hAnsi="Aptos"/>
                <w:b w:val="0"/>
                <w:i w:val="0"/>
                <w:sz w:val="22"/>
              </w:rPr>
              <w:t>65.</w:t>
            </w:r>
          </w:p>
        </w:tc>
        <w:tc>
          <w:tcPr>
            <w:tcW w:type="dxa" w:w="8788"/>
          </w:tcPr>
          <w:p>
            <w:pPr>
              <w:spacing w:before="20" w:after="20"/>
            </w:pPr>
            <w:r>
              <w:rPr>
                <w:rFonts w:ascii="Aptos" w:hAnsi="Aptos"/>
                <w:b w:val="0"/>
                <w:i w:val="0"/>
                <w:sz w:val="22"/>
              </w:rPr>
              <w:t>liczbę godzin praktyk studenckich.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zaawansowane pojęcia probabilistyki i statystyki: rozkłady prawdopodobieństwa, estymację, testy hipotez i ich zastosowanie w uczeniu maszynowym.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K_W12</w:t>
            </w:r>
          </w:p>
        </w:tc>
        <w:tc>
          <w:tcPr>
            <w:tcW w:type="dxa" w:w="3324"/>
          </w:tcPr>
          <w:p>
            <w:pPr>
              <w:spacing w:before="20" w:after="20"/>
            </w:pPr>
            <w:r>
              <w:rPr>
                <w:rFonts w:ascii="Aptos" w:hAnsi="Aptos"/>
                <w:b w:val="0"/>
                <w:i w:val="0"/>
                <w:sz w:val="22"/>
              </w:rPr>
              <w:t>Student zna i rozumie zasady działania i zastosowania algorytmów uczenia maszynowego: regresja, klasyfikacja (SVM, drzewa decyzyjne, lasy losowe), klasteryzacja, redukcja wymiarowości (PCA) i metody ewaluacji modeli. [K_W12]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K_W22</w:t>
            </w:r>
          </w:p>
        </w:tc>
        <w:tc>
          <w:tcPr>
            <w:tcW w:type="dxa" w:w="3324"/>
          </w:tcPr>
          <w:p>
            <w:pPr>
              <w:spacing w:before="20" w:after="20"/>
            </w:pPr>
            <w:r>
              <w:rPr>
                <w:rFonts w:ascii="Aptos" w:hAnsi="Aptos"/>
                <w:b w:val="0"/>
                <w:i w:val="0"/>
                <w:sz w:val="22"/>
              </w:rPr>
              <w:t>Student zna i rozumie zaawansowane pojęcia w zakresie sztucznej inteligencji: głębokie sieci neuronowe (CNN, RNN, Transformer), transfer learning i zasady odpowiedzialnej AI. [K_W22]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zastosować aparat matematyczny (rachunek różniczkowy, algebrę liniową, statystykę) do implementacji i analizy algorytmów uczenia maszynowego w Pythonie (scikit-learn, PyTorch/TensorFlow). [K_U07]</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K_U29</w:t>
            </w:r>
          </w:p>
        </w:tc>
        <w:tc>
          <w:tcPr>
            <w:tcW w:type="dxa" w:w="3324"/>
          </w:tcPr>
          <w:p>
            <w:pPr>
              <w:spacing w:before="20" w:after="20"/>
            </w:pPr>
            <w:r>
              <w:rPr>
                <w:rFonts w:ascii="Aptos" w:hAnsi="Aptos"/>
                <w:b w:val="0"/>
                <w:i w:val="0"/>
                <w:sz w:val="22"/>
              </w:rPr>
              <w:t>Student potrafi zdiagnozować problem z obszaru sztucznej inteligencji, zaprojektować pipeline danych, wytrenować, ocenić i zoptymalizować model ML/DL na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sztucznej inteligencji na rzecz rozwiązywania problemów naukowych i społecznych z uwzględnieniem zasad etycznej AI. [K_K01]</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postępów w dziedzinie ML/AI i adaptowania nowych metod w praktyce inżynierskiej. [K_K03]</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