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i diagnoza poziomu. Słownictwo: środowisko pracy i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Gramatyka: Konjunktiv II – wyrażanie życzeń, możliwości i warunków.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Słownictwo IT: sprzęt komputerowy, oprogramowanie, systemy operacyjne.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zawodowa: korespondencja e-mailowa, pisanie podania o pracę.</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Gramatyka: Passiv – budowanie i użycie strony biernej w opisach procesów.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Słownictwo: internet, sieci komputerowe, bezpieczeństwo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Czytanie ze zrozumieniem: artykuły techniczne w języku niemieckim.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Prezentacje w języku niemieckim – struktura i słownictwo.</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Słownictwo: programowanie, algorytmy, języki programowania.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Komunikacja w projekcie: spotkania, raporty, statusy – symulacje.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Kultura i realia gospodarcze Niemiec, Austrii i Szwajcarii – rynek IT.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Przygotowanie do certyfikacji B1 (Goethe-Zertifikat B1) – ćwiczenia.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zaliczeniowy – prezentacja lub raport w języku niemieckim.</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