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mikroserwisów oraz mikrofrontendów z użyciem Docker, Kubernetes i Module Federation; dokumentacja architektury systemu; przygotowanie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W03. Komunikacja synchroniczna: REST i gRPC. Projektowanie kontraktów API (OpenAPI/Swagger). Wersjonowanie API. Zasady idempotentności.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W04. Komunikacja asynchroniczna: message brokery (RabbitMQ, Apache Kafka). Wzorce: Publish/Subscribe, Event-Driven Architecture. Porównanie brokerów.</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W05. Wzorzec API Gateway: routing, load balancing, autentykacja, rate limiting. Service Discovery: podejście client-side i server-side (Consul, Eureka).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W07. Zarządzanie danymi w mikroserwisach: database-per-service, eventual consistency, wzorce Saga (choreography vs. orchestration) i CQRS.</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W08. Event Sourcing: przechowywanie stanu jako sekwencji zdarzeń. Zalety i ograniczenia. Integracja z CQRS.</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W09. Mikrofrontendy: motywacja, definicja, podejścia integracji (build-time, run-time, iframe, Web Components, Module Federation). Porównanie podejść.</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W10. Webpack 5 Module Federation w szczegółach: host, remote, shared dependencies, dynamic imports. Wzorzec Shell Application.</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W11. Routing i zarządzanie stanem w aplikacjach mikrofrontendowych. Komunikacja między modułami: Custom Events, shared state, Event Bus.</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L03. Implementacja mikroserwisu nr 1 (np. serwis produktów) – REST API, walidacja, obsługa błędów, testy jednostkowe (Jest).</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L06. Implementacja API Gateway w NGINX lub jako mikroserwis Node.js – routing do serwisów backendu, uwierzytelnianie JWT, rate limiting.</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L07. Wzorzec Circuit Breaker z użyciem biblioteki opossum (Node.js). Symulowanie awarii serwisu i testowanie mechanizmów fallback.</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L08. Podstawy Webpack Module Federation – konfiguracja hosta i remotu. Pierwszy mikrofrontend wystawiający komponent React/Vue.</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L09. Budowa aplikacji Shell – integracja co najmniej dwóch niezależnych modułów mikrofrontendowych. Dynamiczne ładowanie modułów.</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L10. Routing w aplikacji mikrofrontendowej. Komunikacja między modułami przy użyciu Custom Events i współdzielonego Event Bus.</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L14. Przegląd i obrona projektów końcowych – prezentacja architektury, demonstracja działającego systemu, dyskusja decyzji projektowych.</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K_U28</w:t>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K_U28</w:t>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