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Zagadnienia z matematyki np.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algebra,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liczby naturalne,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liczby rzeczywiste,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liczby całkowite,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liczby wymierne,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działania wykonywane na liczbach,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notacja pozycyjna,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figury geometryczne,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macierze,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typy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tryb całkowitoliczbowy,</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tryb zmiennoprzecinkowy,</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tekstowe typy danych etc.</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2.Zagadnienia biznesowe (w zależności od poziomu zaawansowania grupy) np.</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debatowanie,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wywieranie wpływu,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podejmowanie decyzji,</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komunikacja w biznesie,</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marki,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zatrudnienie,</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etyka zawodowa,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team building,</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style zarządzania,  rynki międzynarodowe etc.</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4. Zagadnienia z zakresu informatyki (w zależności od poziomu zaawansowania grupy np).</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zastosowanie komputerów w życiu codziennym,</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systemy operacyjne,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mikroprocesory,</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bazy danych,</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Internet,</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wirusy komputerowe,</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gry komputerowe, sieci komputerowe,</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nowe technologie,</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języki programowania,</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oprogramowanie komputerowe etc.)</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9. Słuchanie w oparciu o materiały przedstawiające sytuacje związane ze</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11. Analiza i rozumienie języka specjalistycznego oraz tłumaczenie krótkich tekstów technicznych. K_U01</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14. Wypowiedzi ustne studentów (prezentacje multimedialne, artykuły prasowe,  prezentacje projektów etc.)</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15. Colloquium / Podsumowanie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