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2</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(hiragana, katakana, kanji); ćwiczenia gramatyczne i słownikowe;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JAP1</w:t>
            </w:r>
          </w:p>
        </w:tc>
        <w:tc>
          <w:tcPr>
            <w:tcW w:type="dxa" w:w="4986"/>
          </w:tcPr>
          <w:p>
            <w:pPr>
              <w:spacing w:before="20" w:after="20"/>
            </w:pPr>
            <w:r>
              <w:rPr>
                <w:rFonts w:ascii="Aptos" w:hAnsi="Aptos"/>
                <w:b w:val="0"/>
                <w:i w:val="0"/>
                <w:sz w:val="22"/>
              </w:rPr>
              <w:t>Zaliczenie JAP1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1.Nauka znaków katakany a,i,u,e,o , ka,ki,ku,ke,ko,ga,gi,gu,ge,go, sa,shi,su,se,so,za,ji,zu,ze,zo wybrane nowe kanji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2.  Nauka znaków katakany ta,chi,tsu,te,to,da,di,du,de,do ,na,ni,nu,ne,no / wybrane nowe kanji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3. Nauka znaków katakany ha,hi,fu,he,ho,ba,bi,bu,be,bo,pa,pi,pu,pe,po / wybrane nowe kanji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4. Nauka znaków katakany ma,mi,mu,me,mo, ya,yu,yo, ra,ri,ru,re,ro,wa,wo,n   / TEST (zdania z życia codziennego).</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5.  Dodatki do znaków katakany  (VA) (VI)  (VE)  (VO) WI WE  WO FA FI FE FO .</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6.  Forma -te (omówienie wszystkich grup) / czas teraźniejszy – przyszły i przeszły (+zaprzeczenie) – powtórzenie /budowanie zdań.</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7.  Dodatki do znaków katakany  TSA TSI TSE TSO SHE JE CHE TWU TI DWU DI .</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8.  Forma -tekudasai, Forma -tekara, Forma te (do łączenia czasowników), praca pisemna (wypracowanie) – opisać osobę z obrazka.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9.  Forma -tekudasai, Forma -tekara, Forma te (do łączenia czasowników) – budowanie zdań.</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10.  Choroby i objawy i związane z tym znaki kanji</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11.  Lekcja pisania listu formalnego – praca pisemna.</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12.  Partykuła kara/made, powtórzenie godzin, budowanie zdań opisujących od kiedy do kiedy dany obiekt jest otwarty.</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13.  Kolory i rodzina i wszystkie kanji z tym tematem związane</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14.  Rodzina – opisanie swojej rodziny / Słuchanie (słownictwo związane z rodziną).</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15.  Opisanie domu towarowego i produktów znajdujących się w tym obiekcie, nauka liczenia pięter .</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16. Wybrane nowe znaki kanji</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17. Słownictwo związane z ubiorem itp. i czasowniki zakładania.</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18. Słuchanie: jeden dzień bohatera, zakupy, hobby.</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19.  Słuchanie: porównania i opinia.</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20.  Nowe znaki knaji i budowanie z nimi zdań.</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21. Liczebniki i budowanie z nimi zdań + nowe znaki kanji.</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22. Konstrukcja yori nohōga,motto ichiban ,nowe znaki kanji, ciekawostka: różne święta i dni wolne.</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23.To co potrafimy i to czego nie potrafimy , czytanka o mieście w Brazylii , zadanie ze słuchu .</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24.  Rozmowa na poczcie – jak wysłać list i przesyłkę i związane z tym słownictwo( paczka, polecony, przesyłka morska itp.), nowy czasownik: kakaru.</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25.  Wszystkie zastosowania partykuły de i budowanie zdań, ciekawostka o ogrodach japońskich.</w:t>
            </w:r>
          </w:p>
        </w:tc>
      </w:tr>
      <w:tr>
        <w:tc>
          <w:tcPr>
            <w:tcW w:type="dxa" w:w="680"/>
          </w:tcPr>
          <w:p>
            <w:pPr>
              <w:spacing w:before="20" w:after="20"/>
            </w:pPr>
            <w:r>
              <w:rPr>
                <w:rFonts w:ascii="Aptos" w:hAnsi="Aptos"/>
                <w:b w:val="0"/>
                <w:i w:val="0"/>
                <w:sz w:val="22"/>
              </w:rPr>
              <w:t>26.</w:t>
            </w:r>
          </w:p>
        </w:tc>
        <w:tc>
          <w:tcPr>
            <w:tcW w:type="dxa" w:w="8788"/>
          </w:tcPr>
          <w:p>
            <w:pPr>
              <w:spacing w:before="20" w:after="20"/>
            </w:pPr>
            <w:r>
              <w:rPr>
                <w:rFonts w:ascii="Aptos" w:hAnsi="Aptos"/>
                <w:b w:val="0"/>
                <w:i w:val="0"/>
                <w:sz w:val="22"/>
              </w:rPr>
              <w:t>26.  Czytanka o ninja i związane z tym słownictwo, nowe kanji.</w:t>
            </w:r>
          </w:p>
        </w:tc>
      </w:tr>
      <w:tr>
        <w:tc>
          <w:tcPr>
            <w:tcW w:type="dxa" w:w="680"/>
          </w:tcPr>
          <w:p>
            <w:pPr>
              <w:spacing w:before="20" w:after="20"/>
            </w:pPr>
            <w:r>
              <w:rPr>
                <w:rFonts w:ascii="Aptos" w:hAnsi="Aptos"/>
                <w:b w:val="0"/>
                <w:i w:val="0"/>
                <w:sz w:val="22"/>
              </w:rPr>
              <w:t>27.</w:t>
            </w:r>
          </w:p>
        </w:tc>
        <w:tc>
          <w:tcPr>
            <w:tcW w:type="dxa" w:w="8788"/>
          </w:tcPr>
          <w:p>
            <w:pPr>
              <w:spacing w:before="20" w:after="20"/>
            </w:pPr>
            <w:r>
              <w:rPr>
                <w:rFonts w:ascii="Aptos" w:hAnsi="Aptos"/>
                <w:b w:val="0"/>
                <w:i w:val="0"/>
                <w:sz w:val="22"/>
              </w:rPr>
              <w:t>27.  Omawianie różnych dialogów, zalety i wady  (Fast food), nowe słowa, interpretacja zdjęcia po japońsku.</w:t>
            </w:r>
          </w:p>
        </w:tc>
      </w:tr>
      <w:tr>
        <w:tc>
          <w:tcPr>
            <w:tcW w:type="dxa" w:w="680"/>
          </w:tcPr>
          <w:p>
            <w:pPr>
              <w:spacing w:before="20" w:after="20"/>
            </w:pPr>
            <w:r>
              <w:rPr>
                <w:rFonts w:ascii="Aptos" w:hAnsi="Aptos"/>
                <w:b w:val="0"/>
                <w:i w:val="0"/>
                <w:sz w:val="22"/>
              </w:rPr>
              <w:t>28.</w:t>
            </w:r>
          </w:p>
        </w:tc>
        <w:tc>
          <w:tcPr>
            <w:tcW w:type="dxa" w:w="8788"/>
          </w:tcPr>
          <w:p>
            <w:pPr>
              <w:spacing w:before="20" w:after="20"/>
            </w:pPr>
            <w:r>
              <w:rPr>
                <w:rFonts w:ascii="Aptos" w:hAnsi="Aptos"/>
                <w:b w:val="0"/>
                <w:i w:val="0"/>
                <w:sz w:val="22"/>
              </w:rPr>
              <w:t>28.  Rozmowa na temat zainteresowań i wspomnień, nowe kanji, czytanka o miastach w Japonii.</w:t>
            </w:r>
          </w:p>
        </w:tc>
      </w:tr>
      <w:tr>
        <w:tc>
          <w:tcPr>
            <w:tcW w:type="dxa" w:w="680"/>
          </w:tcPr>
          <w:p>
            <w:pPr>
              <w:spacing w:before="20" w:after="20"/>
            </w:pPr>
            <w:r>
              <w:rPr>
                <w:rFonts w:ascii="Aptos" w:hAnsi="Aptos"/>
                <w:b w:val="0"/>
                <w:i w:val="0"/>
                <w:sz w:val="22"/>
              </w:rPr>
              <w:t>29.</w:t>
            </w:r>
          </w:p>
        </w:tc>
        <w:tc>
          <w:tcPr>
            <w:tcW w:type="dxa" w:w="8788"/>
          </w:tcPr>
          <w:p>
            <w:pPr>
              <w:spacing w:before="20" w:after="20"/>
            </w:pPr>
            <w:r>
              <w:rPr>
                <w:rFonts w:ascii="Aptos" w:hAnsi="Aptos"/>
                <w:b w:val="0"/>
                <w:i w:val="0"/>
                <w:sz w:val="22"/>
              </w:rPr>
              <w:t>29.  Froma nai i budowanie z zdań, powtórzenie materiału z całego semestru.</w:t>
            </w:r>
          </w:p>
        </w:tc>
      </w:tr>
      <w:tr>
        <w:tc>
          <w:tcPr>
            <w:tcW w:type="dxa" w:w="680"/>
          </w:tcPr>
          <w:p>
            <w:pPr>
              <w:spacing w:before="20" w:after="20"/>
            </w:pPr>
            <w:r>
              <w:rPr>
                <w:rFonts w:ascii="Aptos" w:hAnsi="Aptos"/>
                <w:b w:val="0"/>
                <w:i w:val="0"/>
                <w:sz w:val="22"/>
              </w:rPr>
              <w:t>30.</w:t>
            </w:r>
          </w:p>
        </w:tc>
        <w:tc>
          <w:tcPr>
            <w:tcW w:type="dxa" w:w="8788"/>
          </w:tcPr>
          <w:p>
            <w:pPr>
              <w:spacing w:before="20" w:after="20"/>
            </w:pPr>
            <w:r>
              <w:rPr>
                <w:rFonts w:ascii="Aptos" w:hAnsi="Aptos"/>
                <w:b w:val="0"/>
                <w:i w:val="0"/>
                <w:sz w:val="22"/>
              </w:rPr>
              <w:t>30.  Kolokwium zaliczeniowe.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 – główny podręcznik  wyd. 3anetwork Japonia</w:t>
            </w:r>
          </w:p>
          <w:p>
            <w:pPr>
              <w:spacing w:before="20" w:after="20"/>
            </w:pPr>
            <w:r>
              <w:rPr>
                <w:rFonts w:ascii="Aptos" w:hAnsi="Aptos"/>
                <w:sz w:val="22"/>
              </w:rPr>
              <w:t>2.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