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6)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5 (LEK2)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B2+/C1.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C1. Student osiąga biegłość zawodową i akademicką w języku angielskim pozwalającą na samodzielne prowadzenie projektów, pisanie prac dyplomowych i uczestnictwo w konferencjach naukowych.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Online, Academic Word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konstruować wypowiedzi pisemne i ustne w języku angielskim na poziomie C1, w tym pisać pracę dyplomową.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na poziomie C1 w środowisku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uczestnictwa w międzynarodowych projektach i konferencjach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