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RTO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zespołowych z systemów czasu rzeczywistego; implementacja i testowanie algorytmów real-time;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t>Współbieżność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„Systemy czasu rzeczywistego” jest zrozumienie zasad projektowania oprogramowania deterministycznego oraz praktyczne opanowanie pracy z FreeRTOS w systemach wbudowanych IoT. Student nauczy się modelować zadania, dobierać priorytety i parametry planowania, a także analizować czasy wykonania i źródła opóźnień wpływające na dotrzymanie deadline’ów. W trakcie kursu rozwinie umiejętności bezpiecznej komunikacji i synchronizacji między zadaniami (kolejki, semafory, mutexy, event groups) oraz diagnozowania problemów typowych dla RTOS (race conditions, deadlock, priority inversion)</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'Real-Time Systems' is to understand the principles of designing deterministic software and to gain practical mastery of working with FreeRTOS in embedded IoT systems. Students learn how to model tasks, choose priorities and scheduling parameters, and analyze execution times and sources of delays affecting the ability to meet deadlines. During the course, they develop skills in safe communication and synchronization between tasks (queues, semaphores, mutexes, event groups) and in diagnosing problems typical of RTOS environments (race conditions, deadlocks, priority inversion).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RT i FreeRTOS: pojęcia deterministyczności, jitter, deadline, zadania vs przerwania.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Scheduler FreeRTOS: priorytety, wywłaszczanie, time-slicing, stany zadań, dobór konfiguracji.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Zarządzanie czasem: tick, opóźnienia i timeouty, vTaskDelay/Until, timery programowe.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Komunikacja między zadaniami: kolejki, stream/message buffers, wzorce producent–konsument.</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Synchronizacja i sekcje krytyczne: semafory, mutexy, recursive mutex, problem priority inversion.</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Event Groups i Task Notifications: sygnalizacja zdarzeń, szybkie mechanizmy synchronizacji.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Przerwania w FreeRTOS: ISR-safe API, kolejki z ISR, zarządzanie latencją i czasem obsługi.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Pamięć w FreeRTOS: stos zadania, heap (strategie), alokacja dynamiczna, fragmentacja, diagnostyka.</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Debugowanie i obserwowalność: trace, runtime stats, watchdog, analiza zakleszczeń i przepełnień stosu.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RTOS end-to-end: architektura aplikacji, podział na moduły, testy funkcjonalne i czasowe, kryteria zaliczenia.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specyfikę systemów czasu rzeczywistego (SCR): definicję twardego i miękkiego czasu rzeczywistego, wymagania dotyczące deterministyczności, niezawodności i bezpieczeństwa.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architektury RTOS (FreeRTOS, Zephyr, QNX): harmonogramowanie zadań (RM, EDF), zarządzanie przerwaniami, komunikację między zadaniami (kolejki, semafory, zdarzenia) i analizę czasu wykonania (WCET). [K_W26]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zastosowania systemów czasu rzeczywistego w automatyce przemysłowej, robotyce, medycynie i Internecie Rzeczy oraz powiązane standardy bezpieczeństwa (IEC 61131, DO-178).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zaprojektować i zaimplementować aplikację czasu rzeczywistego z użyciem RTOS, w tym zaplanować harmonogram zadań, zaimplementować synchronizację i spełnić ograniczenia czasowe. [K_U23]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specyficzny dla systemu IoT/RT, zaprojektować jego rozwiązanie z uwzględnieniem wymagań czasu rzeczywistego i bezpieczeństwa systemu wbudowanego. [K_U33]</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potrafi zastosować informatykę na rzecz rozwiązywania problemów automatyki i robotyki, przenosząc dobre praktyki projektowania systemów czasu rzeczywistego. [K_K01]</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czasu rzeczywistego w rozwiązaniach przemysłowych i IoT, z uwzględnieniem wymogów certyfikacji i bezpieczeństwa. [K_K01]</w:t>
            </w:r>
          </w:p>
        </w:tc>
        <w:tc>
          <w:tcPr>
            <w:tcW w:type="dxa" w:w="3324"/>
          </w:tcPr>
          <w:p>
            <w:pPr>
              <w:spacing w:before="20" w:after="20"/>
            </w:pPr>
            <w:r>
              <w:rPr>
                <w:rFonts w:ascii="Aptos" w:hAnsi="Aptos"/>
                <w:b w:val="0"/>
                <w:i w:val="0"/>
                <w:sz w:val="22"/>
              </w:rPr>
              <w:t>ocena pracy podczas ćwiczenia, prezentacja projektu i dokumentacji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wiedzy o nowych architekturach RTOS i standardach przemysłowych. [K_K03]</w:t>
            </w:r>
          </w:p>
        </w:tc>
        <w:tc>
          <w:tcPr>
            <w:tcW w:type="dxa" w:w="3324"/>
          </w:tcPr>
          <w:p>
            <w:pPr>
              <w:spacing w:before="20" w:after="20"/>
            </w:pPr>
            <w:r>
              <w:rPr>
                <w:rFonts w:ascii="Aptos" w:hAnsi="Aptos"/>
                <w:b w:val="0"/>
                <w:i w:val="0"/>
                <w:sz w:val="22"/>
              </w:rPr>
              <w:t>ocena pracy podczas ćwiczenia,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