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Aptos" w:hAnsi="Aptos"/>
          <w:b/>
          <w:sz w:val="26"/>
        </w:rPr>
        <w:t>SYLABUS</w:t>
      </w:r>
    </w:p>
    <w:p>
      <w:pPr>
        <w:spacing w:before="0" w:after="40"/>
        <w:jc w:val="center"/>
      </w:pPr>
      <w:r>
        <w:rPr>
          <w:rFonts w:ascii="Aptos" w:hAnsi="Aptos"/>
          <w:b/>
          <w:sz w:val="20"/>
        </w:rPr>
        <w:t>Polsko-Japonska Akademia Technik Komputerowych Filia w Gdansku</w:t>
      </w:r>
    </w:p>
    <w:p>
      <w:pPr>
        <w:spacing w:before="0" w:after="80"/>
        <w:jc w:val="center"/>
      </w:pPr>
      <w:r>
        <w:rPr>
          <w:rFonts w:ascii="Aptos" w:hAnsi="Aptos"/>
          <w:sz w:val="20"/>
        </w:rPr>
        <w:t>Kierunek: INFORMATYKA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2493"/>
        <w:gridCol w:w="2493"/>
        <w:gridCol w:w="2493"/>
        <w:gridCol w:w="2493"/>
      </w:tblGrid>
      <w:tr>
        <w:tc>
          <w:tcPr>
            <w:tcW w:type="dxa" w:w="4986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1.  Nazwa polska przedmiotu:</w:t>
            </w:r>
          </w:p>
        </w:tc>
        <w:tc>
          <w:tcPr>
            <w:tcW w:type="dxa" w:w="4986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2.  Wersja z dnia:</w:t>
            </w:r>
          </w:p>
        </w:tc>
      </w:tr>
      <w:tr>
        <w:tc>
          <w:tcPr>
            <w:tcW w:type="dxa" w:w="4986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Technologie .NET</w:t>
            </w:r>
          </w:p>
        </w:tc>
        <w:tc>
          <w:tcPr>
            <w:tcW w:type="dxa" w:w="4986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19.02.2026</w:t>
            </w:r>
          </w:p>
        </w:tc>
      </w:tr>
      <w:tr>
        <w:tc>
          <w:tcPr>
            <w:tcW w:type="dxa" w:w="4986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3.  Nazwa angielska przedmiotu:</w:t>
            </w:r>
          </w:p>
        </w:tc>
        <w:tc>
          <w:tcPr>
            <w:tcW w:type="dxa" w:w="4986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4.  Kod przedmiotu:</w:t>
            </w:r>
          </w:p>
        </w:tc>
      </w:tr>
      <w:tr>
        <w:tc>
          <w:tcPr>
            <w:tcW w:type="dxa" w:w="4986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4986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DOT</w:t>
            </w:r>
          </w:p>
        </w:tc>
      </w:tr>
      <w:tr>
        <w:tc>
          <w:tcPr>
            <w:tcW w:type="dxa" w:w="4986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5.  Nazwa jednostki prowadzącej przedmiot:</w:t>
            </w:r>
          </w:p>
        </w:tc>
        <w:tc>
          <w:tcPr>
            <w:tcW w:type="dxa" w:w="4986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6.  Liczba punktów ECTS:</w:t>
            </w:r>
          </w:p>
        </w:tc>
      </w:tr>
      <w:tr>
        <w:tc>
          <w:tcPr>
            <w:tcW w:type="dxa" w:w="4986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Filia w Gdansku</w:t>
            </w:r>
          </w:p>
        </w:tc>
        <w:tc>
          <w:tcPr>
            <w:tcW w:type="dxa" w:w="4986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4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9972"/>
            <w:gridSpan w:val="6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7.  Studia</w:t>
            </w:r>
          </w:p>
        </w:tc>
      </w:tr>
      <w:tr>
        <w:tc>
          <w:tcPr>
            <w:tcW w:type="dxa" w:w="166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kierunek</w:t>
            </w:r>
          </w:p>
        </w:tc>
        <w:tc>
          <w:tcPr>
            <w:tcW w:type="dxa" w:w="166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stopień</w:t>
            </w:r>
          </w:p>
        </w:tc>
        <w:tc>
          <w:tcPr>
            <w:tcW w:type="dxa" w:w="166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forma studiów</w:t>
            </w:r>
          </w:p>
        </w:tc>
        <w:tc>
          <w:tcPr>
            <w:tcW w:type="dxa" w:w="166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zakres specjalizacyjny</w:t>
            </w:r>
          </w:p>
        </w:tc>
        <w:tc>
          <w:tcPr>
            <w:tcW w:type="dxa" w:w="166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profil</w:t>
            </w:r>
          </w:p>
        </w:tc>
        <w:tc>
          <w:tcPr>
            <w:tcW w:type="dxa" w:w="166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semestr nauczania</w:t>
            </w:r>
          </w:p>
        </w:tc>
      </w:tr>
      <w:tr>
        <w:tc>
          <w:tcPr>
            <w:tcW w:type="dxa" w:w="166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INFORMATYKA</w:t>
            </w:r>
          </w:p>
        </w:tc>
        <w:tc>
          <w:tcPr>
            <w:tcW w:type="dxa" w:w="166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I</w:t>
            </w:r>
          </w:p>
        </w:tc>
        <w:tc>
          <w:tcPr>
            <w:tcW w:type="dxa" w:w="166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niestacjonarny</w:t>
            </w:r>
          </w:p>
        </w:tc>
        <w:tc>
          <w:tcPr>
            <w:tcW w:type="dxa" w:w="166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obligatoryjny</w:t>
            </w:r>
          </w:p>
        </w:tc>
        <w:tc>
          <w:tcPr>
            <w:tcW w:type="dxa" w:w="166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praktyczny</w:t>
            </w:r>
          </w:p>
        </w:tc>
        <w:tc>
          <w:tcPr>
            <w:tcW w:type="dxa" w:w="166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6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2"/>
      </w:tblGrid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8.  Osoba odpowiedzialna za przedmiot: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dr Tomasz Borzyszkowski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"/>
        <w:gridCol w:w="997"/>
        <w:gridCol w:w="997"/>
        <w:gridCol w:w="997"/>
        <w:gridCol w:w="997"/>
        <w:gridCol w:w="997"/>
        <w:gridCol w:w="997"/>
        <w:gridCol w:w="997"/>
        <w:gridCol w:w="997"/>
        <w:gridCol w:w="997"/>
      </w:tblGrid>
      <w:tr>
        <w:tc>
          <w:tcPr>
            <w:tcW w:type="dxa" w:w="9970"/>
            <w:gridSpan w:val="10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9.  Formy zajęć, sposób ich realizacji i przypisana im liczba godzin:</w:t>
            </w:r>
          </w:p>
        </w:tc>
      </w:tr>
      <w:tr>
        <w:tc>
          <w:tcPr>
            <w:tcW w:type="dxa" w:w="9970"/>
            <w:gridSpan w:val="10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Wymiar godzinowy (liczba godzin w semestrze)</w:t>
            </w:r>
          </w:p>
        </w:tc>
      </w:tr>
      <w:tr>
        <w:tc>
          <w:tcPr>
            <w:tcW w:type="dxa" w:w="1994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wykład</w:t>
            </w:r>
          </w:p>
        </w:tc>
        <w:tc>
          <w:tcPr>
            <w:tcW w:type="dxa" w:w="2991"/>
            <w:gridSpan w:val="3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ćwiczenia/laboratorium/pracownia</w:t>
            </w:r>
          </w:p>
        </w:tc>
        <w:tc>
          <w:tcPr>
            <w:tcW w:type="dxa" w:w="2991"/>
            <w:gridSpan w:val="3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wykład internetowo</w:t>
            </w:r>
          </w:p>
        </w:tc>
        <w:tc>
          <w:tcPr>
            <w:tcW w:type="dxa" w:w="1994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ćw./lab./prac. internetowo</w:t>
            </w:r>
          </w:p>
        </w:tc>
      </w:tr>
      <w:tr>
        <w:tc>
          <w:tcPr>
            <w:tcW w:type="dxa" w:w="1994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30</w:t>
            </w:r>
          </w:p>
        </w:tc>
        <w:tc>
          <w:tcPr>
            <w:tcW w:type="dxa" w:w="2991"/>
            <w:gridSpan w:val="3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30</w:t>
            </w:r>
          </w:p>
        </w:tc>
        <w:tc>
          <w:tcPr>
            <w:tcW w:type="dxa" w:w="2991"/>
            <w:gridSpan w:val="3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—</w:t>
            </w:r>
          </w:p>
        </w:tc>
        <w:tc>
          <w:tcPr>
            <w:tcW w:type="dxa" w:w="1994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—</w:t>
            </w:r>
          </w:p>
        </w:tc>
      </w:tr>
      <w:tr>
        <w:tc>
          <w:tcPr>
            <w:tcW w:type="dxa" w:w="9970"/>
            <w:gridSpan w:val="10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Bilans ECTS</w:t>
            </w:r>
          </w:p>
        </w:tc>
      </w:tr>
      <w:tr>
        <w:tc>
          <w:tcPr>
            <w:tcW w:type="dxa" w:w="4985"/>
            <w:gridSpan w:val="5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Rodzaj nakładu pracy:</w:t>
            </w:r>
          </w:p>
        </w:tc>
        <w:tc>
          <w:tcPr>
            <w:tcW w:type="dxa" w:w="2991"/>
            <w:gridSpan w:val="3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Liczba godzin</w:t>
            </w:r>
          </w:p>
        </w:tc>
        <w:tc>
          <w:tcPr>
            <w:tcW w:type="dxa" w:w="1994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ECTS</w:t>
            </w:r>
          </w:p>
        </w:tc>
      </w:tr>
      <w:tr>
        <w:tc>
          <w:tcPr>
            <w:tcW w:type="dxa" w:w="4985"/>
            <w:gridSpan w:val="5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Zajęcia z bezpośrednim udziałem nauczyciela</w:t>
            </w:r>
          </w:p>
        </w:tc>
        <w:tc>
          <w:tcPr>
            <w:tcW w:type="dxa" w:w="2991"/>
            <w:gridSpan w:val="3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60</w:t>
            </w:r>
          </w:p>
        </w:tc>
        <w:tc>
          <w:tcPr>
            <w:tcW w:type="dxa" w:w="1994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2.4</w:t>
            </w:r>
          </w:p>
        </w:tc>
      </w:tr>
      <w:tr>
        <w:tc>
          <w:tcPr>
            <w:tcW w:type="dxa" w:w="4985"/>
            <w:gridSpan w:val="5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Samodzielna praca studenta</w:t>
            </w:r>
          </w:p>
        </w:tc>
        <w:tc>
          <w:tcPr>
            <w:tcW w:type="dxa" w:w="2991"/>
            <w:gridSpan w:val="3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40</w:t>
            </w:r>
          </w:p>
        </w:tc>
        <w:tc>
          <w:tcPr>
            <w:tcW w:type="dxa" w:w="1994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1.6</w:t>
            </w:r>
          </w:p>
        </w:tc>
      </w:tr>
      <w:tr>
        <w:tc>
          <w:tcPr>
            <w:tcW w:type="dxa" w:w="4985"/>
            <w:gridSpan w:val="5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Opis samodzielnej pracy studenta</w:t>
            </w:r>
          </w:p>
        </w:tc>
        <w:tc>
          <w:tcPr>
            <w:tcW w:type="dxa" w:w="4985"/>
            <w:gridSpan w:val="5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Samodzielne rozwiązywanie zadań programistycznych w technologii .NET; implementacja projektów z użyciem ASP.NET Core, Entity Framework; przygotowanie do zadań laboratoryjnych.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2"/>
      </w:tblGrid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10.  Język wykładowy: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polski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2"/>
      </w:tblGrid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11.  Metody dydaktyczne: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/>
                <w:sz w:val="22"/>
              </w:rPr>
              <w:t>Wykład:</w:t>
            </w:r>
          </w:p>
          <w:p>
            <w:pPr>
              <w:spacing w:before="20" w:after="20"/>
            </w:pPr>
            <w:r>
              <w:rPr>
                <w:rFonts w:ascii="Aptos" w:hAnsi="Aptos"/>
                <w:b w:val="0"/>
                <w:sz w:val="22"/>
              </w:rPr>
              <w:t>• wykład z prezentacją multimedialną</w:t>
            </w:r>
          </w:p>
          <w:p>
            <w:pPr>
              <w:spacing w:before="20" w:after="20"/>
            </w:pPr>
            <w:r>
              <w:rPr>
                <w:rFonts w:ascii="Aptos" w:hAnsi="Aptos"/>
                <w:b w:val="0"/>
                <w:sz w:val="22"/>
              </w:rPr>
              <w:t>• wykład z prezentacją oprogramowania</w:t>
            </w:r>
          </w:p>
          <w:p>
            <w:pPr>
              <w:spacing w:before="20" w:after="20"/>
            </w:pPr>
            <w:r>
              <w:rPr>
                <w:rFonts w:ascii="Aptos" w:hAnsi="Aptos"/>
                <w:b/>
                <w:sz w:val="22"/>
              </w:rPr>
              <w:t>Ćwiczenia / Laboratorium:</w:t>
            </w:r>
          </w:p>
          <w:p>
            <w:pPr>
              <w:spacing w:before="20" w:after="20"/>
            </w:pPr>
            <w:r>
              <w:rPr>
                <w:rFonts w:ascii="Aptos" w:hAnsi="Aptos"/>
                <w:b w:val="0"/>
                <w:sz w:val="22"/>
              </w:rPr>
              <w:t>• rozwiązywanie zadań</w:t>
            </w:r>
          </w:p>
          <w:p>
            <w:pPr>
              <w:spacing w:before="20" w:after="20"/>
            </w:pPr>
            <w:r>
              <w:rPr>
                <w:rFonts w:ascii="Aptos" w:hAnsi="Aptos"/>
                <w:b w:val="0"/>
                <w:sz w:val="22"/>
              </w:rPr>
              <w:t>• metoda projektów (projekt praktyczny)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4986"/>
        <w:gridCol w:w="4986"/>
      </w:tblGrid>
      <w:tr>
        <w:tc>
          <w:tcPr>
            <w:tcW w:type="dxa" w:w="9972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12.  Forma i sposób zaliczenia oraz podstawowe kryteria oceny lub wymagania egzaminacyjne:</w:t>
            </w:r>
          </w:p>
        </w:tc>
      </w:tr>
      <w:tr>
        <w:tc>
          <w:tcPr>
            <w:tcW w:type="dxa" w:w="4986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wykład</w:t>
            </w:r>
          </w:p>
        </w:tc>
        <w:tc>
          <w:tcPr>
            <w:tcW w:type="dxa" w:w="4986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ćwiczenia/laboratorium/pracownia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☐ Nieoceniany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☐ Zaliczenie bez oceny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☐ Zaliczenie z oceną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☐ Egzamin</w:t>
            </w:r>
          </w:p>
        </w:tc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☐ Nieoceniany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☐ Zaliczenie bez oceny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☑ Zaliczenie z oceną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☐ Egzamin</w:t>
            </w:r>
          </w:p>
        </w:tc>
      </w:tr>
      <w:tr>
        <w:tc>
          <w:tcPr>
            <w:tcW w:type="dxa" w:w="4986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kryteria oceny:</w:t>
            </w:r>
          </w:p>
        </w:tc>
        <w:tc>
          <w:tcPr>
            <w:tcW w:type="dxa" w:w="4986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kryteria oceny: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1. ocena pracy podczas ćwiczenia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2. ocena sporządzonego oprogramowania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4986"/>
        <w:gridCol w:w="4986"/>
      </w:tblGrid>
      <w:tr>
        <w:tc>
          <w:tcPr>
            <w:tcW w:type="dxa" w:w="9972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13.  Kompetencje niezbędne dla realizacji przedmiotu i przedmioty poprzedzające, z których one pochodzą:</w:t>
            </w:r>
          </w:p>
        </w:tc>
      </w:tr>
      <w:tr>
        <w:tc>
          <w:tcPr>
            <w:tcW w:type="dxa" w:w="4986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Nazwa przedmiotu poprzedzającego lub realizowanego równolegle</w:t>
            </w:r>
          </w:p>
        </w:tc>
        <w:tc>
          <w:tcPr>
            <w:tcW w:type="dxa" w:w="4986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Wymagane kompetencje niezbędne w realizacji danego przedmiotu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Programowanie obiektowe w Javie</w:t>
            </w:r>
          </w:p>
        </w:tc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Znajomość zasad programowania obiektowego oraz podstaw języków C++ oraz Java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2"/>
      </w:tblGrid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14.  Cele przedmiotu (abstrakt w języku polskim i angielskim)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/>
                <w:sz w:val="22"/>
              </w:rPr>
              <w:t>Abstrakt po polsku:</w:t>
            </w:r>
          </w:p>
          <w:p>
            <w:pPr>
              <w:spacing w:before="20" w:after="80"/>
            </w:pPr>
            <w:r>
              <w:rPr>
                <w:rFonts w:ascii="Aptos" w:hAnsi="Aptos"/>
                <w:sz w:val="22"/>
              </w:rPr>
              <w:t>Przedmiot ma na celu zapoznanie studentów z podstawami języka C# oraz z wybranymi bibliotekami związanymi z technologiami .Net (np. ASP.NET).</w:t>
            </w:r>
          </w:p>
          <w:p>
            <w:pPr>
              <w:spacing w:before="80" w:after="20"/>
            </w:pPr>
            <w:r>
              <w:rPr>
                <w:rFonts w:ascii="Aptos" w:hAnsi="Aptos"/>
                <w:b/>
                <w:sz w:val="22"/>
              </w:rPr>
              <w:t>Abstrakt po angielsku:</w:t>
            </w:r>
          </w:p>
          <w:p>
            <w:pPr>
              <w:spacing w:before="20" w:after="20"/>
            </w:pPr>
            <w:r>
              <w:rPr>
                <w:rFonts w:ascii="Aptos" w:hAnsi="Aptos"/>
                <w:i/>
                <w:sz w:val="22"/>
              </w:rPr>
              <w:t>The course aims to familiarize students with the basics of the C# language and selected libraries related to .NET technologies (e.g. ASP.NET).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680"/>
        <w:gridCol w:w="4536"/>
        <w:gridCol w:w="4252"/>
      </w:tblGrid>
      <w:tr>
        <w:tc>
          <w:tcPr>
            <w:tcW w:type="dxa" w:w="9468"/>
            <w:gridSpan w:val="3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15.  Treści programowe poszczególnych zajęć:</w:t>
            </w:r>
          </w:p>
        </w:tc>
      </w:tr>
      <w:tr>
        <w:tc>
          <w:tcPr>
            <w:tcW w:type="dxa" w:w="680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Nr zajęć</w:t>
            </w:r>
          </w:p>
        </w:tc>
        <w:tc>
          <w:tcPr>
            <w:tcW w:type="dxa" w:w="4536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Wykład</w:t>
            </w:r>
          </w:p>
        </w:tc>
        <w:tc>
          <w:tcPr>
            <w:tcW w:type="dxa" w:w="425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Ćwiczenia / Laboratorium / Pracownia</w:t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1.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Wprowadzenie do Visual Studio i języka C#</w:t>
            </w:r>
          </w:p>
        </w:tc>
        <w:tc>
          <w:tcPr>
            <w:tcW w:type="dxa" w:w="425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2.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Postawy programowania obiektowego w C#: definiowanie klas i obiektów, ukrywanie informacji w klasach języka C#, modyfikatory dostępu, klasy częściowe, porównanie właściwości struktur i klas, konstruktory i destruktory obiektów, inicjalizowanie struktur, dziedziczenie i przesłanianie metod</w:t>
            </w:r>
          </w:p>
        </w:tc>
        <w:tc>
          <w:tcPr>
            <w:tcW w:type="dxa" w:w="425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3.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Konstrukcje programistyczne: definicja właściwości i indeksatorów, składowe statyczne, przeciążanie operatorów</w:t>
            </w:r>
          </w:p>
        </w:tc>
        <w:tc>
          <w:tcPr>
            <w:tcW w:type="dxa" w:w="425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4.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Techniki zaawansowane: atrybuty i mechanizm refleksji, delegacje i obsługa zdarzeń, serializacja</w:t>
            </w:r>
          </w:p>
        </w:tc>
        <w:tc>
          <w:tcPr>
            <w:tcW w:type="dxa" w:w="425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5.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Wprowadzenie do tworzenia serwisów webowych w technologii ASP.</w:t>
            </w:r>
          </w:p>
        </w:tc>
        <w:tc>
          <w:tcPr>
            <w:tcW w:type="dxa" w:w="425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6.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Informacje dodatkowe</w:t>
            </w:r>
          </w:p>
        </w:tc>
        <w:tc>
          <w:tcPr>
            <w:tcW w:type="dxa" w:w="425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7.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Wymagana instalacja współczesnej wersji kompilatora .Net wraz z odpowiednim wsparciem edycji kodu i jego uruchamiania.</w:t>
            </w:r>
          </w:p>
        </w:tc>
        <w:tc>
          <w:tcPr>
            <w:tcW w:type="dxa" w:w="425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8.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Uzasadnienie dla prowadzenia przedmiotu/współpraca z rynkiem pracy</w:t>
            </w:r>
          </w:p>
        </w:tc>
        <w:tc>
          <w:tcPr>
            <w:tcW w:type="dxa" w:w="425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9.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Zrozumienie zagadnień realizowanych w ramach tego przedmiotu jest niezbędne do wykonywania zawodów: programisty oraz architekta oprogramowania w firmach wykorzystujących bibliotekę .Net.</w:t>
            </w:r>
          </w:p>
        </w:tc>
        <w:tc>
          <w:tcPr>
            <w:tcW w:type="dxa" w:w="425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2"/>
      </w:tblGrid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16.  Elektroniczne materiały dydaktyczne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2"/>
      </w:tblGrid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17.  Wykaz literatury</w:t>
            </w:r>
          </w:p>
        </w:tc>
      </w:tr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Literatura wymagana do ostatecznego zaliczenia zajęć, wykorzystywana podczas zajęć oraz studiowana samodzielnie przez studenta: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1. Ian Griffiths, C# 10. Programowanie. Tworzenie aplikacji Windows, internetowych i biurowych. Helion, 2023.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2. Andrew Stellman, Jennifer Greene, C#. Rusz głową! Wydanie IV. Helion, 2022.</w:t>
            </w:r>
          </w:p>
        </w:tc>
      </w:tr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Literatura uzupełniająca: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1. Adam Freeman, ASP.NET Core 3. Zaawansowane programowanie. Wydanie VIII. Helion, 2021.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3324"/>
        <w:gridCol w:w="3324"/>
        <w:gridCol w:w="3324"/>
      </w:tblGrid>
      <w:tr>
        <w:tc>
          <w:tcPr>
            <w:tcW w:type="dxa" w:w="9972"/>
            <w:gridSpan w:val="3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18.  Wiedza nabywana / dostarczana uczestnikom w trakcie realizacji przedmiotu</w:t>
            </w:r>
          </w:p>
        </w:tc>
      </w:tr>
      <w:tr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Kierunkowe efekty uczenia się (kody)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Przedmiotowy efekt uczenia się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Metody weryfikacji osiągnięcia efektu uczenia się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Student zna i rozumie zaawansowane paradygmaty programowania obiektowego w C#: właściwości i indeksatory, atrybuty i mechanizm refleksji, delegacje i zdarzenia, serializacja oraz zaawansowane techniki LINQ i async/await. [K_W10]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pracy podczas ćwiczenia; ocena sporządzonego oprogramowania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Student zna i rozumie podstawy tworzenia serwisów webowych w technologii ASP.NET (Web API, middleware, DI) i rozumie architekturę nowoczesnych aplikacji backendowych .NET. [K_W10]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pracy podczas ćwiczenia; ocena sporządzonego oprogramowania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3324"/>
        <w:gridCol w:w="3324"/>
        <w:gridCol w:w="3324"/>
      </w:tblGrid>
      <w:tr>
        <w:tc>
          <w:tcPr>
            <w:tcW w:type="dxa" w:w="9972"/>
            <w:gridSpan w:val="3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19.  Umiejętności nabywane podczas realizacji przedmiotu</w:t>
            </w:r>
          </w:p>
        </w:tc>
      </w:tr>
      <w:tr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Kierunkowe efekty uczenia się (kody)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Przedmiotowy efekt uczenia się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Metody weryfikacji osiągnięcia efektu uczenia się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Student potrafi czytać ze zrozumieniem, pisać, weryfikować i uruchamiać zaawansowane programy w C#, oceniać przydatność paradygmatów i dobierać środowisko programistyczne. [K_U16]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pracy podczas ćwiczenia; ocena sporządzonego oprogramowania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Student potrafi zaprojektować i wytworzyć zaawansowane oprogramowanie w C# zgodnie z paradygmatami OOP, przetestować je i zdebugować, planując etapy wytwarzania i dobierając narzędzia CI/CD. [K_U16]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pracy podczas ćwiczenia; ocena sporządzonego oprogramowania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3324"/>
        <w:gridCol w:w="3324"/>
        <w:gridCol w:w="3324"/>
      </w:tblGrid>
      <w:tr>
        <w:tc>
          <w:tcPr>
            <w:tcW w:type="dxa" w:w="9972"/>
            <w:gridSpan w:val="3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20.  Kompetencje społeczne (postawy) kształtowane podczas realizacji przedmiotu</w:t>
            </w:r>
          </w:p>
        </w:tc>
      </w:tr>
      <w:tr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Kierunkowe efekty uczenia się (kody)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Przedmiotowy efekt uczenia się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Metody weryfikacji osiągnięcia efektu uczenia się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Student jest gotów do ciągłego doskonalenia kompetencji programistycznych w ekosystemie .NET i C#. [K_K03]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pracy podczas ćwiczenia; ocena sporządzonego oprogramowania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Student jest gotów do stosowania zaawansowanych technik programowania obiektowego w komercyjnych projektach programistycznych. [K_K04]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pracy podczas ćwiczenia; ocena sporządzonego oprogramowania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3324"/>
        <w:gridCol w:w="3324"/>
        <w:gridCol w:w="3324"/>
      </w:tblGrid>
      <w:tr>
        <w:tc>
          <w:tcPr>
            <w:tcW w:type="dxa" w:w="9972"/>
            <w:gridSpan w:val="3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21.  Wymagania dotyczące laboratorium, w którym odbywają się zajęcia z niniejszego przedmiotu</w:t>
            </w:r>
          </w:p>
        </w:tc>
      </w:tr>
      <w:tr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Parametry dla stanowisk komputerowych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Oprogramowanie konieczne do realizacji przedmiotu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Wyposażenie specjalistyczne konieczne do realizacji przedmiotu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2"/>
      </w:tblGrid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22.  Informacje dodatkowe – certyfikaty do których przygotowuje przedmiot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2"/>
      </w:tblGrid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23.  Uzasadnienie dla prowadzenia przedmiotu - współpraca z rynkiem pracy</w:t>
            </w:r>
          </w:p>
        </w:tc>
      </w:tr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A.  W jakiego typu firmach bądź dziedzinach gospodarki będą potrzebne umiejętności nabyte w trakcie zajęć: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B.  W jakich zawodach wiedza i umiejętności nabyte podczas zajęć są istotne: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C.  Przykładowe tematy prac dyplomowych i projektów badawczych: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</w:tbl>
    <w:sectPr w:rsidR="00FC693F" w:rsidRPr="0006063C" w:rsidSect="00034616">
      <w:pgSz w:w="12240" w:h="15840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