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Język hiszpański 1</w:t>
            </w:r>
          </w:p>
        </w:tc>
        <w:tc>
          <w:tcPr>
            <w:tcW w:type="dxa" w:w="4986"/>
            <w:gridSpan w:val="2"/>
          </w:tcPr>
          <w:p>
            <w:pPr>
              <w:spacing w:before="20" w:after="20"/>
            </w:pPr>
            <w:r>
              <w:rPr>
                <w:rFonts w:ascii="Aptos" w:hAnsi="Aptos"/>
                <w:b w:val="0"/>
                <w:i w:val="0"/>
                <w:sz w:val="22"/>
              </w:rPr>
              <w:t>04.03.2026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HIS1</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Gdańsku</w:t>
            </w:r>
          </w:p>
        </w:tc>
        <w:tc>
          <w:tcPr>
            <w:tcW w:type="dxa" w:w="4986"/>
            <w:gridSpan w:val="2"/>
          </w:tcPr>
          <w:p>
            <w:pPr>
              <w:spacing w:before="20" w:after="20"/>
            </w:pPr>
            <w:r>
              <w:rPr>
                <w:rFonts w:ascii="Aptos" w:hAnsi="Aptos"/>
                <w:b w:val="0"/>
                <w:i w:val="0"/>
                <w:sz w:val="22"/>
              </w:rPr>
              <w:t>3</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niestacjonarny</w:t>
            </w:r>
          </w:p>
        </w:tc>
        <w:tc>
          <w:tcPr>
            <w:tcW w:type="dxa" w:w="1662"/>
          </w:tcPr>
          <w:p>
            <w:pPr>
              <w:spacing w:before="20" w:after="20"/>
            </w:pPr>
            <w:r>
              <w:rPr>
                <w:rFonts w:ascii="Aptos" w:hAnsi="Aptos"/>
                <w:b w:val="0"/>
                <w:i w:val="0"/>
                <w:sz w:val="22"/>
              </w:rPr>
              <w:t>lektorat</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Studium Języków Obcych</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w:t>
            </w:r>
          </w:p>
        </w:tc>
        <w:tc>
          <w:tcPr>
            <w:tcW w:type="dxa" w:w="2991"/>
            <w:gridSpan w:val="3"/>
          </w:tcPr>
          <w:p>
            <w:pPr>
              <w:spacing w:before="20" w:after="20"/>
            </w:pPr>
            <w:r>
              <w:rPr>
                <w:rFonts w:ascii="Aptos" w:hAnsi="Aptos"/>
                <w:b w:val="0"/>
                <w:i w:val="0"/>
                <w:sz w:val="22"/>
              </w:rPr>
              <w:t>16</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16</w:t>
            </w:r>
          </w:p>
        </w:tc>
        <w:tc>
          <w:tcPr>
            <w:tcW w:type="dxa" w:w="1994"/>
            <w:gridSpan w:val="2"/>
          </w:tcPr>
          <w:p>
            <w:pPr>
              <w:spacing w:before="20" w:after="20"/>
            </w:pPr>
            <w:r>
              <w:rPr>
                <w:rFonts w:ascii="Aptos" w:hAnsi="Aptos"/>
                <w:b w:val="0"/>
                <w:i w:val="0"/>
                <w:sz w:val="22"/>
              </w:rPr>
              <w:t>0.6</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59</w:t>
            </w:r>
          </w:p>
        </w:tc>
        <w:tc>
          <w:tcPr>
            <w:tcW w:type="dxa" w:w="1994"/>
            <w:gridSpan w:val="2"/>
          </w:tcPr>
          <w:p>
            <w:pPr>
              <w:spacing w:before="20" w:after="20"/>
            </w:pPr>
            <w:r>
              <w:rPr>
                <w:rFonts w:ascii="Aptos" w:hAnsi="Aptos"/>
                <w:b w:val="0"/>
                <w:i w:val="0"/>
                <w:sz w:val="22"/>
              </w:rPr>
              <w:t>2.4</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Nauka słownictwa i gramatyki języka hiszpańskiego; przygotowywanie prac pisemnych; ćwiczenia konwersacyjne; przygotowanie do kolokwiów i testów.</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Ćwiczenia / Laboratorium:</w:t>
            </w:r>
          </w:p>
          <w:p>
            <w:pPr>
              <w:spacing w:before="20" w:after="20"/>
            </w:pPr>
            <w:r>
              <w:rPr>
                <w:rFonts w:ascii="Aptos" w:hAnsi="Aptos"/>
                <w:b w:val="0"/>
                <w:sz w:val="22"/>
              </w:rPr>
              <w:t>• analiza tekstów z dyskusją</w:t>
            </w:r>
          </w:p>
          <w:p>
            <w:pPr>
              <w:spacing w:before="20" w:after="20"/>
            </w:pPr>
            <w:r>
              <w:rPr>
                <w:rFonts w:ascii="Aptos" w:hAnsi="Aptos"/>
                <w:b w:val="0"/>
                <w:sz w:val="22"/>
              </w:rPr>
              <w:t>• rozwiązywanie zadań</w:t>
            </w:r>
          </w:p>
          <w:p>
            <w:pPr>
              <w:spacing w:before="20" w:after="20"/>
            </w:pPr>
            <w:r>
              <w:rPr>
                <w:rFonts w:ascii="Aptos" w:hAnsi="Aptos"/>
                <w:b w:val="0"/>
                <w:sz w:val="22"/>
              </w:rPr>
              <w:t>• burza mózgów</w:t>
            </w:r>
          </w:p>
          <w:p>
            <w:pPr>
              <w:spacing w:before="20" w:after="20"/>
            </w:pPr>
            <w:r>
              <w:rPr>
                <w:rFonts w:ascii="Aptos" w:hAnsi="Aptos"/>
                <w:b w:val="0"/>
                <w:sz w:val="22"/>
              </w:rPr>
              <w:t>• mind map</w:t>
            </w:r>
          </w:p>
          <w:p>
            <w:pPr>
              <w:spacing w:before="20" w:after="20"/>
            </w:pPr>
            <w:r>
              <w:rPr>
                <w:rFonts w:ascii="Aptos" w:hAnsi="Aptos"/>
                <w:b w:val="0"/>
                <w:sz w:val="22"/>
              </w:rPr>
              <w:t>• praca grupowa nad projektem z wykorzystaniem nowoczesnych technik informatycznych</w:t>
            </w:r>
          </w:p>
          <w:p>
            <w:pPr>
              <w:spacing w:before="20" w:after="20"/>
            </w:pPr>
            <w:r>
              <w:rPr>
                <w:rFonts w:ascii="Aptos" w:hAnsi="Aptos"/>
                <w:b w:val="0"/>
                <w:sz w:val="22"/>
              </w:rPr>
              <w:t>• warsztaty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b w:val="0"/>
                <w:i w:val="0"/>
                <w:sz w:val="22"/>
              </w:rPr>
            </w:r>
          </w:p>
        </w:tc>
        <w:tc>
          <w:tcPr>
            <w:tcW w:type="dxa" w:w="4986"/>
          </w:tcPr>
          <w:p>
            <w:pPr>
              <w:spacing w:before="20" w:after="20"/>
            </w:pPr>
            <w:r>
              <w:rPr>
                <w:rFonts w:ascii="Aptos" w:hAnsi="Aptos"/>
                <w:sz w:val="22"/>
              </w:rPr>
              <w:t>1. kolokwium</w:t>
            </w:r>
          </w:p>
          <w:p>
            <w:pPr>
              <w:spacing w:before="20" w:after="20"/>
            </w:pPr>
            <w:r>
              <w:rPr>
                <w:rFonts w:ascii="Aptos" w:hAnsi="Aptos"/>
                <w:sz w:val="22"/>
              </w:rPr>
              <w:t>2. egzamin ustny</w:t>
            </w:r>
          </w:p>
          <w:p>
            <w:pPr>
              <w:spacing w:before="20" w:after="20"/>
            </w:pPr>
            <w:r>
              <w:rPr>
                <w:rFonts w:ascii="Aptos" w:hAnsi="Aptos"/>
                <w:sz w:val="22"/>
              </w:rPr>
              <w:t>3. ocena sporządzonego dokumentu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ANG4</w:t>
            </w:r>
          </w:p>
        </w:tc>
        <w:tc>
          <w:tcPr>
            <w:tcW w:type="dxa" w:w="4986"/>
          </w:tcPr>
          <w:p>
            <w:pPr>
              <w:spacing w:before="20" w:after="20"/>
            </w:pPr>
            <w:r>
              <w:rPr>
                <w:rFonts w:ascii="Aptos" w:hAnsi="Aptos"/>
                <w:b w:val="0"/>
                <w:i w:val="0"/>
                <w:sz w:val="22"/>
              </w:rPr>
              <w:t>brak</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Nauczanie języka hiszpańskiego od poziomu A1 do A2. Student  opanowuje język hiszpański w stopniu pozwalającym na komunikację językową w większości sytuacji dnia codziennego i częściowo zawodowego, wyrażanie myśli i opinii, rozumienie i tworzenie krótkich tekstów pisanych i wypowiedzi ustnych na różne tematy. Student poznaje elementy kultury, historii i realiów życia codziennego w Hiszpanii i krajach obszaru języka hiszpańskiego.</w:t>
            </w:r>
          </w:p>
          <w:p>
            <w:pPr>
              <w:spacing w:before="80" w:after="20"/>
            </w:pPr>
            <w:r>
              <w:rPr>
                <w:rFonts w:ascii="Aptos" w:hAnsi="Aptos"/>
                <w:b/>
                <w:sz w:val="22"/>
              </w:rPr>
              <w:t>Abstrakt po angielsku:</w:t>
            </w:r>
          </w:p>
          <w:p>
            <w:pPr>
              <w:spacing w:before="20" w:after="20"/>
            </w:pPr>
            <w:r>
              <w:rPr>
                <w:rFonts w:ascii="Aptos" w:hAnsi="Aptos"/>
                <w:i/>
                <w:sz w:val="22"/>
              </w:rPr>
              <w:t>Spanish language instruction at the A1/A2 level. Students acquire Spanish proficiency enabling basic communication in everyday situations, expression of thoughts and opinions, and understanding and producing short written texts and spoken statements. Students also learn about the culture, history, and everyday life of Spain and Spanish-speaking countries.</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4536"/>
        <w:gridCol w:w="4252"/>
      </w:tblGrid>
      <w:tr>
        <w:tc>
          <w:tcPr>
            <w:tcW w:type="dxa" w:w="9468"/>
            <w:gridSpan w:val="3"/>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4536"/>
            <w:shd w:val="clear" w:color="auto" w:fill="D9D9D9"/>
          </w:tcPr>
          <w:p>
            <w:pPr>
              <w:spacing w:before="20" w:after="20"/>
            </w:pPr>
            <w:r>
              <w:rPr>
                <w:rFonts w:ascii="Aptos" w:hAnsi="Aptos"/>
                <w:b/>
                <w:i w:val="0"/>
                <w:sz w:val="16"/>
              </w:rPr>
              <w:t>Wykład</w:t>
            </w:r>
          </w:p>
        </w:tc>
        <w:tc>
          <w:tcPr>
            <w:tcW w:type="dxa" w:w="4252"/>
            <w:shd w:val="clear" w:color="auto" w:fill="D9D9D9"/>
          </w:tcPr>
          <w:p>
            <w:pPr>
              <w:spacing w:before="20" w:after="20"/>
            </w:pPr>
            <w:r>
              <w:rPr>
                <w:rFonts w:ascii="Aptos" w:hAnsi="Aptos"/>
                <w:b/>
                <w:i w:val="0"/>
                <w:sz w:val="16"/>
              </w:rPr>
              <w:t>Ćwiczenia / Laboratorium / Pracownia</w:t>
            </w:r>
          </w:p>
        </w:tc>
      </w:tr>
      <w:tr>
        <w:tc>
          <w:tcPr>
            <w:tcW w:type="dxa" w:w="680"/>
          </w:tcPr>
          <w:p>
            <w:pPr>
              <w:spacing w:before="20" w:after="20"/>
            </w:pPr>
            <w:r>
              <w:rPr>
                <w:rFonts w:ascii="Aptos" w:hAnsi="Aptos"/>
                <w:b w:val="0"/>
                <w:i w:val="0"/>
                <w:sz w:val="22"/>
              </w:rPr>
              <w:t>1.</w:t>
            </w:r>
          </w:p>
        </w:tc>
        <w:tc>
          <w:tcPr>
            <w:tcW w:type="dxa" w:w="4536"/>
          </w:tcPr>
          <w:p>
            <w:pPr>
              <w:spacing w:before="20" w:after="20"/>
            </w:pPr>
            <w:r>
              <w:rPr>
                <w:rFonts w:ascii="Aptos" w:hAnsi="Aptos"/>
                <w:b w:val="0"/>
                <w:i w:val="0"/>
                <w:sz w:val="22"/>
              </w:rPr>
              <w:t>Hiszpański na świecie - ogólne informacje o krajach hiszpańskojęzycznych, alfabet, przywitania, pożegnania, samopoczucie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w:t>
            </w:r>
          </w:p>
        </w:tc>
        <w:tc>
          <w:tcPr>
            <w:tcW w:type="dxa" w:w="4536"/>
          </w:tcPr>
          <w:p>
            <w:pPr>
              <w:spacing w:before="20" w:after="20"/>
            </w:pPr>
            <w:r>
              <w:rPr>
                <w:rFonts w:ascii="Aptos" w:hAnsi="Aptos"/>
                <w:b w:val="0"/>
                <w:i w:val="0"/>
                <w:sz w:val="22"/>
              </w:rPr>
              <w:t>Edukacja – nazwy przyborów szkolnych, zwroty przydatne na lekcjach, liczebniki do 20, rodzaj i liczba rzeczowników</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w:t>
            </w:r>
          </w:p>
        </w:tc>
        <w:tc>
          <w:tcPr>
            <w:tcW w:type="dxa" w:w="4536"/>
          </w:tcPr>
          <w:p>
            <w:pPr>
              <w:spacing w:before="20" w:after="20"/>
            </w:pPr>
            <w:r>
              <w:rPr>
                <w:rFonts w:ascii="Aptos" w:hAnsi="Aptos"/>
                <w:b w:val="0"/>
                <w:i w:val="0"/>
                <w:sz w:val="22"/>
              </w:rPr>
              <w:t>Człowiek - dane personalne, narodowość, wiek, stan cywilny, zawody, czasownik ser, tener, vivir, llamarse, rodzaj i liczba przymiotników, zaimki osobowe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w:t>
            </w:r>
          </w:p>
        </w:tc>
        <w:tc>
          <w:tcPr>
            <w:tcW w:type="dxa" w:w="4536"/>
          </w:tcPr>
          <w:p>
            <w:pPr>
              <w:spacing w:before="20" w:after="20"/>
            </w:pPr>
            <w:r>
              <w:rPr>
                <w:rFonts w:ascii="Aptos" w:hAnsi="Aptos"/>
                <w:b w:val="0"/>
                <w:i w:val="0"/>
                <w:sz w:val="22"/>
              </w:rPr>
              <w:t>Życie prywatne – rodzina (pokrewieństwo), przyjaciele, imiona i nazwiska hiszpańskie, liczebniki do 100</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5.</w:t>
            </w:r>
          </w:p>
        </w:tc>
        <w:tc>
          <w:tcPr>
            <w:tcW w:type="dxa" w:w="4536"/>
          </w:tcPr>
          <w:p>
            <w:pPr>
              <w:spacing w:before="20" w:after="20"/>
            </w:pPr>
            <w:r>
              <w:rPr>
                <w:rFonts w:ascii="Aptos" w:hAnsi="Aptos"/>
                <w:b w:val="0"/>
                <w:i w:val="0"/>
                <w:sz w:val="22"/>
              </w:rPr>
              <w:t>Praca – zawody, miejsca pracy,  odmiana czasowników regularnych,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6.</w:t>
            </w:r>
          </w:p>
        </w:tc>
        <w:tc>
          <w:tcPr>
            <w:tcW w:type="dxa" w:w="4536"/>
          </w:tcPr>
          <w:p>
            <w:pPr>
              <w:spacing w:before="20" w:after="20"/>
            </w:pPr>
            <w:r>
              <w:rPr>
                <w:rFonts w:ascii="Aptos" w:hAnsi="Aptos"/>
                <w:b w:val="0"/>
                <w:i w:val="0"/>
                <w:sz w:val="22"/>
              </w:rPr>
              <w:t>Wygląd człowieka – cechy fizyczne i cechy charakteru, zaimki dzierżawcze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7.</w:t>
            </w:r>
          </w:p>
        </w:tc>
        <w:tc>
          <w:tcPr>
            <w:tcW w:type="dxa" w:w="4536"/>
          </w:tcPr>
          <w:p>
            <w:pPr>
              <w:spacing w:before="20" w:after="20"/>
            </w:pPr>
            <w:r>
              <w:rPr>
                <w:rFonts w:ascii="Aptos" w:hAnsi="Aptos"/>
                <w:b w:val="0"/>
                <w:i w:val="0"/>
                <w:sz w:val="22"/>
              </w:rPr>
              <w:t>Rzeczy osobiste – ubrania i kolory, zaimki wskazujące, czasownik llevar, rodzajniki nieokreślone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8.</w:t>
            </w:r>
          </w:p>
        </w:tc>
        <w:tc>
          <w:tcPr>
            <w:tcW w:type="dxa" w:w="4536"/>
          </w:tcPr>
          <w:p>
            <w:pPr>
              <w:spacing w:before="20" w:after="20"/>
            </w:pPr>
            <w:r>
              <w:rPr>
                <w:rFonts w:ascii="Aptos" w:hAnsi="Aptos"/>
                <w:b w:val="0"/>
                <w:i w:val="0"/>
                <w:sz w:val="22"/>
              </w:rPr>
              <w:t>Święta w Hiszpanii: Sylwester, Nowy Rok, Święto Trzech Króli, tradycje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9.</w:t>
            </w:r>
          </w:p>
        </w:tc>
        <w:tc>
          <w:tcPr>
            <w:tcW w:type="dxa" w:w="4536"/>
          </w:tcPr>
          <w:p>
            <w:pPr>
              <w:spacing w:before="20" w:after="20"/>
            </w:pPr>
            <w:r>
              <w:rPr>
                <w:rFonts w:ascii="Aptos" w:hAnsi="Aptos"/>
                <w:b w:val="0"/>
                <w:i w:val="0"/>
                <w:sz w:val="22"/>
              </w:rPr>
              <w:t>Dom – pomieszczenia i wyposażenie domu, sprzęty gospodarstwa domowego, czasowniki estar, ser i haber, rodzajniki ściągnięte: al., del, przyimki miejsca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10.</w:t>
            </w:r>
          </w:p>
        </w:tc>
        <w:tc>
          <w:tcPr>
            <w:tcW w:type="dxa" w:w="4536"/>
          </w:tcPr>
          <w:p>
            <w:pPr>
              <w:spacing w:before="20" w:after="20"/>
            </w:pPr>
            <w:r>
              <w:rPr>
                <w:rFonts w:ascii="Aptos" w:hAnsi="Aptos"/>
                <w:b w:val="0"/>
                <w:i w:val="0"/>
                <w:sz w:val="22"/>
              </w:rPr>
              <w:t>Miejsce zamieszkania – budynki miejskie, opis dzielnicy, liczebniki do 1000</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11.</w:t>
            </w:r>
          </w:p>
        </w:tc>
        <w:tc>
          <w:tcPr>
            <w:tcW w:type="dxa" w:w="4536"/>
          </w:tcPr>
          <w:p>
            <w:pPr>
              <w:spacing w:before="20" w:after="20"/>
            </w:pPr>
            <w:r>
              <w:rPr>
                <w:rFonts w:ascii="Aptos" w:hAnsi="Aptos"/>
                <w:b w:val="0"/>
                <w:i w:val="0"/>
                <w:sz w:val="22"/>
              </w:rPr>
              <w:t>Szkoła – system edukacyjny w Hiszpanii, nazwy przedmiotów szkolnych, czynności wykonywane w szkole, obowiązki, przymiotniki nieokreślone muchos/as, wskazywanie ilości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12.</w:t>
            </w:r>
          </w:p>
        </w:tc>
        <w:tc>
          <w:tcPr>
            <w:tcW w:type="dxa" w:w="4536"/>
          </w:tcPr>
          <w:p>
            <w:pPr>
              <w:spacing w:before="20" w:after="20"/>
            </w:pPr>
            <w:r>
              <w:rPr>
                <w:rFonts w:ascii="Aptos" w:hAnsi="Aptos"/>
                <w:b w:val="0"/>
                <w:i w:val="0"/>
                <w:sz w:val="22"/>
              </w:rPr>
              <w:t>Życie codzienne – czynności dnia codziennego, przysłówki i wyrażenia czasowe, odmiana czasowników zwrotnych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13.</w:t>
            </w:r>
          </w:p>
        </w:tc>
        <w:tc>
          <w:tcPr>
            <w:tcW w:type="dxa" w:w="4536"/>
          </w:tcPr>
          <w:p>
            <w:pPr>
              <w:spacing w:before="20" w:after="20"/>
            </w:pPr>
            <w:r>
              <w:rPr>
                <w:rFonts w:ascii="Aptos" w:hAnsi="Aptos"/>
                <w:b w:val="0"/>
                <w:i w:val="0"/>
                <w:sz w:val="22"/>
              </w:rPr>
              <w:t>Miasto – obiekty miejskie, usługi, zaimki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14.</w:t>
            </w:r>
          </w:p>
        </w:tc>
        <w:tc>
          <w:tcPr>
            <w:tcW w:type="dxa" w:w="4536"/>
          </w:tcPr>
          <w:p>
            <w:pPr>
              <w:spacing w:before="20" w:after="20"/>
            </w:pPr>
            <w:r>
              <w:rPr>
                <w:rFonts w:ascii="Aptos" w:hAnsi="Aptos"/>
                <w:b w:val="0"/>
                <w:i w:val="0"/>
                <w:sz w:val="22"/>
              </w:rPr>
              <w:t>Czas wolny – formy spędzania czasu wolnego, częstotliwość wykonywanych czynności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15.</w:t>
            </w:r>
          </w:p>
        </w:tc>
        <w:tc>
          <w:tcPr>
            <w:tcW w:type="dxa" w:w="4536"/>
          </w:tcPr>
          <w:p>
            <w:pPr>
              <w:spacing w:before="20" w:after="20"/>
            </w:pPr>
            <w:r>
              <w:rPr>
                <w:rFonts w:ascii="Aptos" w:hAnsi="Aptos"/>
                <w:b w:val="0"/>
                <w:i w:val="0"/>
                <w:sz w:val="22"/>
              </w:rPr>
              <w:t>Święta w Hiszpanii – Wielkanoc, Święto ognia, tradycje</w:t>
            </w:r>
          </w:p>
        </w:tc>
        <w:tc>
          <w:tcPr>
            <w:tcW w:type="dxa" w:w="425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M. Spychała-Wawrzyniak, X. Pascual López, A. Dudziak-Szukała, A. Kaźmierczak, J.C. García González, Descrubre 1, Wydawnictwo DRACO, 2020</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J. Fernandez, R. Fernández Jódar, X. Pascual López, Praktyczna gramatyka języka hiszpańskiego, Wydawnictwo DRACO, 2019</w:t>
            </w:r>
          </w:p>
          <w:p>
            <w:pPr>
              <w:spacing w:before="20" w:after="20"/>
            </w:pPr>
            <w:r>
              <w:rPr>
                <w:rFonts w:ascii="Aptos" w:hAnsi="Aptos"/>
                <w:sz w:val="22"/>
              </w:rPr>
              <w:t>2. D. Vargas Vargas, Vocabulario en acción A1-A2, Wydawnictwo DRACO, 2023</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kolokwium; egzamin ustny; ocena sporządzonego dokumentu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kolokwium; egzamin ustny; ocena sporządzonego dokumentu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kolokwium; egzamin ustny; ocena sporządzonego dokumentu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konstruować proste wypowiedzi pisemne i ustne w języku hiszpńskim z wykorzystaniem opracowań dydaktycznych zgodnie z zasadami przewidzianymi dla danej formy.</w:t>
            </w:r>
          </w:p>
        </w:tc>
        <w:tc>
          <w:tcPr>
            <w:tcW w:type="dxa" w:w="3324"/>
          </w:tcPr>
          <w:p>
            <w:pPr>
              <w:spacing w:before="20" w:after="20"/>
            </w:pPr>
            <w:r>
              <w:rPr>
                <w:rFonts w:ascii="Aptos" w:hAnsi="Aptos"/>
                <w:b w:val="0"/>
                <w:i w:val="0"/>
                <w:sz w:val="22"/>
              </w:rPr>
              <w:t>kolokwium; egzamin ustny; ocena sporządzonego dokumentu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posługiwać się językiem hiszpańskim w mowie i piśmie na poziomie podstawowym.</w:t>
            </w:r>
          </w:p>
        </w:tc>
        <w:tc>
          <w:tcPr>
            <w:tcW w:type="dxa" w:w="3324"/>
          </w:tcPr>
          <w:p>
            <w:pPr>
              <w:spacing w:before="20" w:after="20"/>
            </w:pPr>
            <w:r>
              <w:rPr>
                <w:rFonts w:ascii="Aptos" w:hAnsi="Aptos"/>
                <w:b w:val="0"/>
                <w:i w:val="0"/>
                <w:sz w:val="22"/>
              </w:rPr>
              <w:t>kolokwium; egzamin ustny; ocena sporządzonego dokumentu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permanentnego doskonalenia kompetencji językowych w celach zawodowych.</w:t>
            </w:r>
          </w:p>
        </w:tc>
        <w:tc>
          <w:tcPr>
            <w:tcW w:type="dxa" w:w="3324"/>
          </w:tcPr>
          <w:p>
            <w:pPr>
              <w:spacing w:before="20" w:after="20"/>
            </w:pPr>
            <w:r>
              <w:rPr>
                <w:rFonts w:ascii="Aptos" w:hAnsi="Aptos"/>
                <w:b w:val="0"/>
                <w:i w:val="0"/>
                <w:sz w:val="22"/>
              </w:rPr>
              <w:t>kolokwium; egzamin ustny; ocena sporządzonego dokumentu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ciągłego samokształcenia własnych kompetencji językowych oraz dostrzega potrzebę podejmowania inicjatyw w dziedzinach biznesowych.</w:t>
            </w:r>
          </w:p>
        </w:tc>
        <w:tc>
          <w:tcPr>
            <w:tcW w:type="dxa" w:w="3324"/>
          </w:tcPr>
          <w:p>
            <w:pPr>
              <w:spacing w:before="20" w:after="20"/>
            </w:pPr>
            <w:r>
              <w:rPr>
                <w:rFonts w:ascii="Aptos" w:hAnsi="Aptos"/>
                <w:b w:val="0"/>
                <w:i w:val="0"/>
                <w:sz w:val="22"/>
              </w:rPr>
              <w:t>kolokwium; egzamin ustny; ocena sporządzonego dokumentu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