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ptos" w:hAnsi="Aptos"/>
          <w:b/>
          <w:sz w:val="26"/>
        </w:rPr>
        <w:t>SYLABUS</w:t>
      </w:r>
    </w:p>
    <w:p>
      <w:pPr>
        <w:spacing w:before="0" w:after="40"/>
        <w:jc w:val="center"/>
      </w:pPr>
      <w:r>
        <w:rPr>
          <w:rFonts w:ascii="Aptos" w:hAnsi="Aptos"/>
          <w:b/>
          <w:sz w:val="20"/>
        </w:rPr>
        <w:t>Polsko-Japonska Akademia Technik Komputerowych Filia w Gdansku</w:t>
      </w:r>
    </w:p>
    <w:p>
      <w:pPr>
        <w:spacing w:before="0" w:after="80"/>
        <w:jc w:val="center"/>
      </w:pPr>
      <w:r>
        <w:rPr>
          <w:rFonts w:ascii="Aptos" w:hAnsi="Aptos"/>
          <w:sz w:val="20"/>
        </w:rPr>
        <w:t>Kierunek: INFORMATYKA</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2493"/>
        <w:gridCol w:w="2493"/>
        <w:gridCol w:w="2493"/>
        <w:gridCol w:w="2493"/>
      </w:tblGrid>
      <w:tr>
        <w:tc>
          <w:tcPr>
            <w:tcW w:type="dxa" w:w="4986"/>
            <w:gridSpan w:val="2"/>
            <w:shd w:val="clear" w:color="auto" w:fill="D9D9D9"/>
          </w:tcPr>
          <w:p>
            <w:pPr>
              <w:spacing w:before="20" w:after="20"/>
            </w:pPr>
            <w:r>
              <w:rPr>
                <w:rFonts w:ascii="Aptos" w:hAnsi="Aptos"/>
                <w:b/>
                <w:i w:val="0"/>
                <w:sz w:val="22"/>
              </w:rPr>
              <w:t>1.  Nazwa polska przedmiotu:</w:t>
            </w:r>
          </w:p>
        </w:tc>
        <w:tc>
          <w:tcPr>
            <w:tcW w:type="dxa" w:w="4986"/>
            <w:gridSpan w:val="2"/>
            <w:shd w:val="clear" w:color="auto" w:fill="D9D9D9"/>
          </w:tcPr>
          <w:p>
            <w:pPr>
              <w:spacing w:before="20" w:after="20"/>
            </w:pPr>
            <w:r>
              <w:rPr>
                <w:rFonts w:ascii="Aptos" w:hAnsi="Aptos"/>
                <w:b/>
                <w:i w:val="0"/>
                <w:sz w:val="22"/>
              </w:rPr>
              <w:t>2.  Wersja z dnia:</w:t>
            </w:r>
          </w:p>
        </w:tc>
      </w:tr>
      <w:tr>
        <w:tc>
          <w:tcPr>
            <w:tcW w:type="dxa" w:w="4986"/>
            <w:gridSpan w:val="2"/>
          </w:tcPr>
          <w:p>
            <w:pPr>
              <w:spacing w:before="20" w:after="20"/>
            </w:pPr>
            <w:r>
              <w:rPr>
                <w:rFonts w:ascii="Aptos" w:hAnsi="Aptos"/>
                <w:b w:val="0"/>
                <w:i w:val="0"/>
                <w:sz w:val="22"/>
              </w:rPr>
              <w:t>Język angielski 1</w:t>
            </w:r>
          </w:p>
        </w:tc>
        <w:tc>
          <w:tcPr>
            <w:tcW w:type="dxa" w:w="4986"/>
            <w:gridSpan w:val="2"/>
          </w:tcPr>
          <w:p>
            <w:pPr>
              <w:spacing w:before="20" w:after="20"/>
            </w:pPr>
            <w:r>
              <w:rPr>
                <w:rFonts w:ascii="Aptos" w:hAnsi="Aptos"/>
                <w:b w:val="0"/>
                <w:i w:val="0"/>
                <w:sz w:val="22"/>
              </w:rPr>
              <w:t>26.02.2026</w:t>
            </w:r>
          </w:p>
        </w:tc>
      </w:tr>
      <w:tr>
        <w:tc>
          <w:tcPr>
            <w:tcW w:type="dxa" w:w="4986"/>
            <w:gridSpan w:val="2"/>
            <w:shd w:val="clear" w:color="auto" w:fill="D9D9D9"/>
          </w:tcPr>
          <w:p>
            <w:pPr>
              <w:spacing w:before="20" w:after="20"/>
            </w:pPr>
            <w:r>
              <w:rPr>
                <w:rFonts w:ascii="Aptos" w:hAnsi="Aptos"/>
                <w:b/>
                <w:i w:val="0"/>
                <w:sz w:val="22"/>
              </w:rPr>
              <w:t>3.  Nazwa angielska przedmiotu:</w:t>
            </w:r>
          </w:p>
        </w:tc>
        <w:tc>
          <w:tcPr>
            <w:tcW w:type="dxa" w:w="4986"/>
            <w:gridSpan w:val="2"/>
            <w:shd w:val="clear" w:color="auto" w:fill="D9D9D9"/>
          </w:tcPr>
          <w:p>
            <w:pPr>
              <w:spacing w:before="20" w:after="20"/>
            </w:pPr>
            <w:r>
              <w:rPr>
                <w:rFonts w:ascii="Aptos" w:hAnsi="Aptos"/>
                <w:b/>
                <w:i w:val="0"/>
                <w:sz w:val="22"/>
              </w:rPr>
              <w:t>4.  Kod przedmiotu:</w:t>
            </w:r>
          </w:p>
        </w:tc>
      </w:tr>
      <w:tr>
        <w:tc>
          <w:tcPr>
            <w:tcW w:type="dxa" w:w="4986"/>
            <w:gridSpan w:val="2"/>
          </w:tcPr>
          <w:p>
            <w:pPr>
              <w:spacing w:before="20" w:after="20"/>
            </w:pPr>
            <w:r>
              <w:rPr>
                <w:rFonts w:ascii="Aptos" w:hAnsi="Aptos"/>
                <w:b w:val="0"/>
                <w:i w:val="0"/>
                <w:sz w:val="22"/>
              </w:rPr>
            </w:r>
          </w:p>
        </w:tc>
        <w:tc>
          <w:tcPr>
            <w:tcW w:type="dxa" w:w="4986"/>
            <w:gridSpan w:val="2"/>
          </w:tcPr>
          <w:p>
            <w:pPr>
              <w:spacing w:before="20" w:after="20"/>
            </w:pPr>
            <w:r>
              <w:rPr>
                <w:rFonts w:ascii="Aptos" w:hAnsi="Aptos"/>
                <w:b w:val="0"/>
                <w:i w:val="0"/>
                <w:sz w:val="22"/>
              </w:rPr>
              <w:t>ANG1</w:t>
            </w:r>
          </w:p>
        </w:tc>
      </w:tr>
      <w:tr>
        <w:tc>
          <w:tcPr>
            <w:tcW w:type="dxa" w:w="4986"/>
            <w:gridSpan w:val="2"/>
            <w:shd w:val="clear" w:color="auto" w:fill="D9D9D9"/>
          </w:tcPr>
          <w:p>
            <w:pPr>
              <w:spacing w:before="20" w:after="20"/>
            </w:pPr>
            <w:r>
              <w:rPr>
                <w:rFonts w:ascii="Aptos" w:hAnsi="Aptos"/>
                <w:b/>
                <w:i w:val="0"/>
                <w:sz w:val="22"/>
              </w:rPr>
              <w:t>5.  Nazwa jednostki prowadzącej przedmiot:</w:t>
            </w:r>
          </w:p>
        </w:tc>
        <w:tc>
          <w:tcPr>
            <w:tcW w:type="dxa" w:w="4986"/>
            <w:gridSpan w:val="2"/>
            <w:shd w:val="clear" w:color="auto" w:fill="D9D9D9"/>
          </w:tcPr>
          <w:p>
            <w:pPr>
              <w:spacing w:before="20" w:after="20"/>
            </w:pPr>
            <w:r>
              <w:rPr>
                <w:rFonts w:ascii="Aptos" w:hAnsi="Aptos"/>
                <w:b/>
                <w:i w:val="0"/>
                <w:sz w:val="22"/>
              </w:rPr>
              <w:t>6.  Liczba punktów ECTS:</w:t>
            </w:r>
          </w:p>
        </w:tc>
      </w:tr>
      <w:tr>
        <w:tc>
          <w:tcPr>
            <w:tcW w:type="dxa" w:w="4986"/>
            <w:gridSpan w:val="2"/>
          </w:tcPr>
          <w:p>
            <w:pPr>
              <w:spacing w:before="20" w:after="20"/>
            </w:pPr>
            <w:r>
              <w:rPr>
                <w:rFonts w:ascii="Aptos" w:hAnsi="Aptos"/>
                <w:b w:val="0"/>
                <w:i w:val="0"/>
                <w:sz w:val="22"/>
              </w:rPr>
              <w:t>Filia w Gdansku</w:t>
            </w:r>
          </w:p>
        </w:tc>
        <w:tc>
          <w:tcPr>
            <w:tcW w:type="dxa" w:w="4986"/>
            <w:gridSpan w:val="2"/>
          </w:tcPr>
          <w:p>
            <w:pPr>
              <w:spacing w:before="20" w:after="20"/>
            </w:pPr>
            <w:r>
              <w:rPr>
                <w:rFonts w:ascii="Aptos" w:hAnsi="Aptos"/>
                <w:b w:val="0"/>
                <w:i w:val="0"/>
                <w:sz w:val="22"/>
              </w:rPr>
              <w:t>3</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1662"/>
        <w:gridCol w:w="1662"/>
        <w:gridCol w:w="1662"/>
        <w:gridCol w:w="1662"/>
        <w:gridCol w:w="1662"/>
        <w:gridCol w:w="1662"/>
      </w:tblGrid>
      <w:tr>
        <w:tc>
          <w:tcPr>
            <w:tcW w:type="dxa" w:w="9972"/>
            <w:gridSpan w:val="6"/>
            <w:shd w:val="clear" w:color="auto" w:fill="D9D9D9"/>
          </w:tcPr>
          <w:p>
            <w:pPr>
              <w:spacing w:before="20" w:after="20"/>
            </w:pPr>
            <w:r>
              <w:rPr>
                <w:rFonts w:ascii="Aptos" w:hAnsi="Aptos"/>
                <w:b/>
                <w:i w:val="0"/>
                <w:sz w:val="22"/>
              </w:rPr>
              <w:t>7.  Studia</w:t>
            </w:r>
          </w:p>
        </w:tc>
      </w:tr>
      <w:tr>
        <w:tc>
          <w:tcPr>
            <w:tcW w:type="dxa" w:w="1662"/>
            <w:shd w:val="clear" w:color="auto" w:fill="D9D9D9"/>
          </w:tcPr>
          <w:p>
            <w:pPr>
              <w:spacing w:before="20" w:after="20"/>
            </w:pPr>
            <w:r>
              <w:rPr>
                <w:rFonts w:ascii="Aptos" w:hAnsi="Aptos"/>
                <w:b/>
                <w:i w:val="0"/>
                <w:sz w:val="16"/>
              </w:rPr>
              <w:t>kierunek</w:t>
            </w:r>
          </w:p>
        </w:tc>
        <w:tc>
          <w:tcPr>
            <w:tcW w:type="dxa" w:w="1662"/>
            <w:shd w:val="clear" w:color="auto" w:fill="D9D9D9"/>
          </w:tcPr>
          <w:p>
            <w:pPr>
              <w:spacing w:before="20" w:after="20"/>
            </w:pPr>
            <w:r>
              <w:rPr>
                <w:rFonts w:ascii="Aptos" w:hAnsi="Aptos"/>
                <w:b/>
                <w:i w:val="0"/>
                <w:sz w:val="16"/>
              </w:rPr>
              <w:t>stopień</w:t>
            </w:r>
          </w:p>
        </w:tc>
        <w:tc>
          <w:tcPr>
            <w:tcW w:type="dxa" w:w="1662"/>
            <w:shd w:val="clear" w:color="auto" w:fill="D9D9D9"/>
          </w:tcPr>
          <w:p>
            <w:pPr>
              <w:spacing w:before="20" w:after="20"/>
            </w:pPr>
            <w:r>
              <w:rPr>
                <w:rFonts w:ascii="Aptos" w:hAnsi="Aptos"/>
                <w:b/>
                <w:i w:val="0"/>
                <w:sz w:val="16"/>
              </w:rPr>
              <w:t>forma studiów</w:t>
            </w:r>
          </w:p>
        </w:tc>
        <w:tc>
          <w:tcPr>
            <w:tcW w:type="dxa" w:w="1662"/>
            <w:shd w:val="clear" w:color="auto" w:fill="D9D9D9"/>
          </w:tcPr>
          <w:p>
            <w:pPr>
              <w:spacing w:before="20" w:after="20"/>
            </w:pPr>
            <w:r>
              <w:rPr>
                <w:rFonts w:ascii="Aptos" w:hAnsi="Aptos"/>
                <w:b/>
                <w:i w:val="0"/>
                <w:sz w:val="16"/>
              </w:rPr>
              <w:t>zakres specjalizacyjny</w:t>
            </w:r>
          </w:p>
        </w:tc>
        <w:tc>
          <w:tcPr>
            <w:tcW w:type="dxa" w:w="1662"/>
            <w:shd w:val="clear" w:color="auto" w:fill="D9D9D9"/>
          </w:tcPr>
          <w:p>
            <w:pPr>
              <w:spacing w:before="20" w:after="20"/>
            </w:pPr>
            <w:r>
              <w:rPr>
                <w:rFonts w:ascii="Aptos" w:hAnsi="Aptos"/>
                <w:b/>
                <w:i w:val="0"/>
                <w:sz w:val="16"/>
              </w:rPr>
              <w:t>profil</w:t>
            </w:r>
          </w:p>
        </w:tc>
        <w:tc>
          <w:tcPr>
            <w:tcW w:type="dxa" w:w="1662"/>
            <w:shd w:val="clear" w:color="auto" w:fill="D9D9D9"/>
          </w:tcPr>
          <w:p>
            <w:pPr>
              <w:spacing w:before="20" w:after="20"/>
            </w:pPr>
            <w:r>
              <w:rPr>
                <w:rFonts w:ascii="Aptos" w:hAnsi="Aptos"/>
                <w:b/>
                <w:i w:val="0"/>
                <w:sz w:val="16"/>
              </w:rPr>
              <w:t>semestr nauczania</w:t>
            </w:r>
          </w:p>
        </w:tc>
      </w:tr>
      <w:tr>
        <w:tc>
          <w:tcPr>
            <w:tcW w:type="dxa" w:w="1662"/>
          </w:tcPr>
          <w:p>
            <w:pPr>
              <w:spacing w:before="20" w:after="20"/>
            </w:pPr>
            <w:r>
              <w:rPr>
                <w:rFonts w:ascii="Aptos" w:hAnsi="Aptos"/>
                <w:b w:val="0"/>
                <w:i w:val="0"/>
                <w:sz w:val="22"/>
              </w:rPr>
              <w:t>INFORMATYKA</w:t>
            </w:r>
          </w:p>
        </w:tc>
        <w:tc>
          <w:tcPr>
            <w:tcW w:type="dxa" w:w="1662"/>
          </w:tcPr>
          <w:p>
            <w:pPr>
              <w:spacing w:before="20" w:after="20"/>
            </w:pPr>
            <w:r>
              <w:rPr>
                <w:rFonts w:ascii="Aptos" w:hAnsi="Aptos"/>
                <w:b w:val="0"/>
                <w:i w:val="0"/>
                <w:sz w:val="22"/>
              </w:rPr>
              <w:t>I</w:t>
            </w:r>
          </w:p>
        </w:tc>
        <w:tc>
          <w:tcPr>
            <w:tcW w:type="dxa" w:w="1662"/>
          </w:tcPr>
          <w:p>
            <w:pPr>
              <w:spacing w:before="20" w:after="20"/>
            </w:pPr>
            <w:r>
              <w:rPr>
                <w:rFonts w:ascii="Aptos" w:hAnsi="Aptos"/>
                <w:b w:val="0"/>
                <w:i w:val="0"/>
                <w:sz w:val="22"/>
              </w:rPr>
              <w:t>stacjonarny</w:t>
            </w:r>
          </w:p>
        </w:tc>
        <w:tc>
          <w:tcPr>
            <w:tcW w:type="dxa" w:w="1662"/>
          </w:tcPr>
          <w:p>
            <w:pPr>
              <w:spacing w:before="20" w:after="20"/>
            </w:pPr>
            <w:r>
              <w:rPr>
                <w:rFonts w:ascii="Aptos" w:hAnsi="Aptos"/>
                <w:b w:val="0"/>
                <w:i w:val="0"/>
                <w:sz w:val="22"/>
              </w:rPr>
              <w:t>obligatoryjny</w:t>
            </w:r>
          </w:p>
        </w:tc>
        <w:tc>
          <w:tcPr>
            <w:tcW w:type="dxa" w:w="1662"/>
          </w:tcPr>
          <w:p>
            <w:pPr>
              <w:spacing w:before="20" w:after="20"/>
            </w:pPr>
            <w:r>
              <w:rPr>
                <w:rFonts w:ascii="Aptos" w:hAnsi="Aptos"/>
                <w:b w:val="0"/>
                <w:i w:val="0"/>
                <w:sz w:val="22"/>
              </w:rPr>
              <w:t>praktyczny</w:t>
            </w:r>
          </w:p>
        </w:tc>
        <w:tc>
          <w:tcPr>
            <w:tcW w:type="dxa" w:w="1662"/>
          </w:tcPr>
          <w:p>
            <w:pPr>
              <w:spacing w:before="20" w:after="20"/>
            </w:pPr>
            <w:r>
              <w:rPr>
                <w:rFonts w:ascii="Aptos" w:hAnsi="Aptos"/>
                <w:b w:val="0"/>
                <w:i w:val="0"/>
                <w:sz w:val="22"/>
              </w:rPr>
              <w:t>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8.  Osoba odpowiedzialna za przedmiot:</w:t>
            </w:r>
          </w:p>
        </w:tc>
      </w:tr>
      <w:tr>
        <w:tc>
          <w:tcPr>
            <w:tcW w:type="dxa" w:w="9972"/>
          </w:tcPr>
          <w:p>
            <w:pPr>
              <w:spacing w:before="20" w:after="20"/>
            </w:pPr>
            <w:r>
              <w:rPr>
                <w:rFonts w:ascii="Aptos" w:hAnsi="Aptos"/>
                <w:b w:val="0"/>
                <w:i w:val="0"/>
                <w:sz w:val="22"/>
              </w:rPr>
              <w:t>Studium Języków Obcych</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
        <w:gridCol w:w="997"/>
        <w:gridCol w:w="997"/>
        <w:gridCol w:w="997"/>
        <w:gridCol w:w="997"/>
        <w:gridCol w:w="997"/>
        <w:gridCol w:w="997"/>
        <w:gridCol w:w="997"/>
        <w:gridCol w:w="997"/>
        <w:gridCol w:w="997"/>
      </w:tblGrid>
      <w:tr>
        <w:tc>
          <w:tcPr>
            <w:tcW w:type="dxa" w:w="9970"/>
            <w:gridSpan w:val="10"/>
            <w:shd w:val="clear" w:color="auto" w:fill="D9D9D9"/>
          </w:tcPr>
          <w:p>
            <w:pPr>
              <w:spacing w:before="20" w:after="20"/>
            </w:pPr>
            <w:r>
              <w:rPr>
                <w:rFonts w:ascii="Aptos" w:hAnsi="Aptos"/>
                <w:b/>
                <w:i w:val="0"/>
                <w:sz w:val="22"/>
              </w:rPr>
              <w:t>9.  Formy zajęć, sposób ich realizacji i przypisana im liczba godzin:</w:t>
            </w:r>
          </w:p>
        </w:tc>
      </w:tr>
      <w:tr>
        <w:tc>
          <w:tcPr>
            <w:tcW w:type="dxa" w:w="9970"/>
            <w:gridSpan w:val="10"/>
            <w:shd w:val="clear" w:color="auto" w:fill="D9D9D9"/>
          </w:tcPr>
          <w:p>
            <w:pPr>
              <w:spacing w:before="20" w:after="20"/>
            </w:pPr>
            <w:r>
              <w:rPr>
                <w:rFonts w:ascii="Aptos" w:hAnsi="Aptos"/>
                <w:b w:val="0"/>
                <w:i w:val="0"/>
                <w:sz w:val="16"/>
              </w:rPr>
              <w:t>Wymiar godzinowy (liczba godzin w semestrze)</w:t>
            </w:r>
          </w:p>
        </w:tc>
      </w:tr>
      <w:tr>
        <w:tc>
          <w:tcPr>
            <w:tcW w:type="dxa" w:w="1994"/>
            <w:gridSpan w:val="2"/>
            <w:shd w:val="clear" w:color="auto" w:fill="D9D9D9"/>
          </w:tcPr>
          <w:p>
            <w:pPr>
              <w:spacing w:before="20" w:after="20"/>
            </w:pPr>
            <w:r>
              <w:rPr>
                <w:rFonts w:ascii="Aptos" w:hAnsi="Aptos"/>
                <w:b/>
                <w:i w:val="0"/>
                <w:sz w:val="16"/>
              </w:rPr>
              <w:t>wykład</w:t>
            </w:r>
          </w:p>
        </w:tc>
        <w:tc>
          <w:tcPr>
            <w:tcW w:type="dxa" w:w="2991"/>
            <w:gridSpan w:val="3"/>
            <w:shd w:val="clear" w:color="auto" w:fill="D9D9D9"/>
          </w:tcPr>
          <w:p>
            <w:pPr>
              <w:spacing w:before="20" w:after="20"/>
            </w:pPr>
            <w:r>
              <w:rPr>
                <w:rFonts w:ascii="Aptos" w:hAnsi="Aptos"/>
                <w:b/>
                <w:i w:val="0"/>
                <w:sz w:val="16"/>
              </w:rPr>
              <w:t>ćwiczenia/laboratorium/pracownia</w:t>
            </w:r>
          </w:p>
        </w:tc>
        <w:tc>
          <w:tcPr>
            <w:tcW w:type="dxa" w:w="2991"/>
            <w:gridSpan w:val="3"/>
            <w:shd w:val="clear" w:color="auto" w:fill="D9D9D9"/>
          </w:tcPr>
          <w:p>
            <w:pPr>
              <w:spacing w:before="20" w:after="20"/>
            </w:pPr>
            <w:r>
              <w:rPr>
                <w:rFonts w:ascii="Aptos" w:hAnsi="Aptos"/>
                <w:b/>
                <w:i w:val="0"/>
                <w:sz w:val="16"/>
              </w:rPr>
              <w:t>wykład internetowo</w:t>
            </w:r>
          </w:p>
        </w:tc>
        <w:tc>
          <w:tcPr>
            <w:tcW w:type="dxa" w:w="1994"/>
            <w:gridSpan w:val="2"/>
            <w:shd w:val="clear" w:color="auto" w:fill="D9D9D9"/>
          </w:tcPr>
          <w:p>
            <w:pPr>
              <w:spacing w:before="20" w:after="20"/>
            </w:pPr>
            <w:r>
              <w:rPr>
                <w:rFonts w:ascii="Aptos" w:hAnsi="Aptos"/>
                <w:b/>
                <w:i w:val="0"/>
                <w:sz w:val="16"/>
              </w:rPr>
              <w:t>ćw./lab./prac. internetowo</w:t>
            </w:r>
          </w:p>
        </w:tc>
      </w:tr>
      <w:tr>
        <w:tc>
          <w:tcPr>
            <w:tcW w:type="dxa" w:w="1994"/>
            <w:gridSpan w:val="2"/>
          </w:tcPr>
          <w:p>
            <w:pPr>
              <w:spacing w:before="20" w:after="20"/>
            </w:pPr>
            <w:r>
              <w:rPr>
                <w:rFonts w:ascii="Aptos" w:hAnsi="Aptos"/>
                <w:b w:val="0"/>
                <w:i w:val="0"/>
                <w:sz w:val="22"/>
              </w:rPr>
              <w:t>—</w:t>
            </w:r>
          </w:p>
        </w:tc>
        <w:tc>
          <w:tcPr>
            <w:tcW w:type="dxa" w:w="2991"/>
            <w:gridSpan w:val="3"/>
          </w:tcPr>
          <w:p>
            <w:pPr>
              <w:spacing w:before="20" w:after="20"/>
            </w:pPr>
            <w:r>
              <w:rPr>
                <w:rFonts w:ascii="Aptos" w:hAnsi="Aptos"/>
                <w:b w:val="0"/>
                <w:i w:val="0"/>
                <w:sz w:val="22"/>
              </w:rPr>
              <w:t>60</w:t>
            </w:r>
          </w:p>
        </w:tc>
        <w:tc>
          <w:tcPr>
            <w:tcW w:type="dxa" w:w="2991"/>
            <w:gridSpan w:val="3"/>
          </w:tcPr>
          <w:p>
            <w:pPr>
              <w:spacing w:before="20" w:after="20"/>
            </w:pPr>
            <w:r>
              <w:rPr>
                <w:rFonts w:ascii="Aptos" w:hAnsi="Aptos"/>
                <w:b w:val="0"/>
                <w:i w:val="0"/>
                <w:sz w:val="22"/>
              </w:rPr>
              <w:t>—</w:t>
            </w:r>
          </w:p>
        </w:tc>
        <w:tc>
          <w:tcPr>
            <w:tcW w:type="dxa" w:w="1994"/>
            <w:gridSpan w:val="2"/>
          </w:tcPr>
          <w:p>
            <w:pPr>
              <w:spacing w:before="20" w:after="20"/>
            </w:pPr>
            <w:r>
              <w:rPr>
                <w:rFonts w:ascii="Aptos" w:hAnsi="Aptos"/>
                <w:b w:val="0"/>
                <w:i w:val="0"/>
                <w:sz w:val="22"/>
              </w:rPr>
              <w:t>—</w:t>
            </w:r>
          </w:p>
        </w:tc>
      </w:tr>
      <w:tr>
        <w:tc>
          <w:tcPr>
            <w:tcW w:type="dxa" w:w="9970"/>
            <w:gridSpan w:val="10"/>
            <w:shd w:val="clear" w:color="auto" w:fill="D9D9D9"/>
          </w:tcPr>
          <w:p>
            <w:pPr>
              <w:spacing w:before="20" w:after="20"/>
            </w:pPr>
            <w:r>
              <w:rPr>
                <w:rFonts w:ascii="Aptos" w:hAnsi="Aptos"/>
                <w:b/>
                <w:i w:val="0"/>
                <w:sz w:val="22"/>
              </w:rPr>
              <w:t>Bilans ECTS</w:t>
            </w:r>
          </w:p>
        </w:tc>
      </w:tr>
      <w:tr>
        <w:tc>
          <w:tcPr>
            <w:tcW w:type="dxa" w:w="4985"/>
            <w:gridSpan w:val="5"/>
            <w:shd w:val="clear" w:color="auto" w:fill="D9D9D9"/>
          </w:tcPr>
          <w:p>
            <w:pPr>
              <w:spacing w:before="20" w:after="20"/>
            </w:pPr>
            <w:r>
              <w:rPr>
                <w:rFonts w:ascii="Aptos" w:hAnsi="Aptos"/>
                <w:b/>
                <w:i w:val="0"/>
                <w:sz w:val="16"/>
              </w:rPr>
              <w:t>Rodzaj nakładu pracy:</w:t>
            </w:r>
          </w:p>
        </w:tc>
        <w:tc>
          <w:tcPr>
            <w:tcW w:type="dxa" w:w="2991"/>
            <w:gridSpan w:val="3"/>
            <w:shd w:val="clear" w:color="auto" w:fill="D9D9D9"/>
          </w:tcPr>
          <w:p>
            <w:pPr>
              <w:spacing w:before="20" w:after="20"/>
            </w:pPr>
            <w:r>
              <w:rPr>
                <w:rFonts w:ascii="Aptos" w:hAnsi="Aptos"/>
                <w:b/>
                <w:i w:val="0"/>
                <w:sz w:val="16"/>
              </w:rPr>
              <w:t>Liczba godzin</w:t>
            </w:r>
          </w:p>
        </w:tc>
        <w:tc>
          <w:tcPr>
            <w:tcW w:type="dxa" w:w="1994"/>
            <w:gridSpan w:val="2"/>
            <w:shd w:val="clear" w:color="auto" w:fill="D9D9D9"/>
          </w:tcPr>
          <w:p>
            <w:pPr>
              <w:spacing w:before="20" w:after="20"/>
            </w:pPr>
            <w:r>
              <w:rPr>
                <w:rFonts w:ascii="Aptos" w:hAnsi="Aptos"/>
                <w:b/>
                <w:i w:val="0"/>
                <w:sz w:val="16"/>
              </w:rPr>
              <w:t>ECTS</w:t>
            </w:r>
          </w:p>
        </w:tc>
      </w:tr>
      <w:tr>
        <w:tc>
          <w:tcPr>
            <w:tcW w:type="dxa" w:w="4985"/>
            <w:gridSpan w:val="5"/>
          </w:tcPr>
          <w:p>
            <w:pPr>
              <w:spacing w:before="20" w:after="20"/>
            </w:pPr>
            <w:r>
              <w:rPr>
                <w:rFonts w:ascii="Aptos" w:hAnsi="Aptos"/>
                <w:b w:val="0"/>
                <w:i w:val="0"/>
                <w:sz w:val="22"/>
              </w:rPr>
              <w:t>Zajęcia z bezpośrednim udziałem nauczyciela</w:t>
            </w:r>
          </w:p>
        </w:tc>
        <w:tc>
          <w:tcPr>
            <w:tcW w:type="dxa" w:w="2991"/>
            <w:gridSpan w:val="3"/>
          </w:tcPr>
          <w:p>
            <w:pPr>
              <w:spacing w:before="20" w:after="20"/>
            </w:pPr>
            <w:r>
              <w:rPr>
                <w:rFonts w:ascii="Aptos" w:hAnsi="Aptos"/>
                <w:b w:val="0"/>
                <w:i w:val="0"/>
                <w:sz w:val="22"/>
              </w:rPr>
              <w:t>60</w:t>
            </w:r>
          </w:p>
        </w:tc>
        <w:tc>
          <w:tcPr>
            <w:tcW w:type="dxa" w:w="1994"/>
            <w:gridSpan w:val="2"/>
          </w:tcPr>
          <w:p>
            <w:pPr>
              <w:spacing w:before="20" w:after="20"/>
            </w:pPr>
            <w:r>
              <w:rPr>
                <w:rFonts w:ascii="Aptos" w:hAnsi="Aptos"/>
                <w:b w:val="0"/>
                <w:i w:val="0"/>
                <w:sz w:val="22"/>
              </w:rPr>
              <w:t>2.4</w:t>
            </w:r>
          </w:p>
        </w:tc>
      </w:tr>
      <w:tr>
        <w:tc>
          <w:tcPr>
            <w:tcW w:type="dxa" w:w="4985"/>
            <w:gridSpan w:val="5"/>
          </w:tcPr>
          <w:p>
            <w:pPr>
              <w:spacing w:before="20" w:after="20"/>
            </w:pPr>
            <w:r>
              <w:rPr>
                <w:rFonts w:ascii="Aptos" w:hAnsi="Aptos"/>
                <w:b w:val="0"/>
                <w:i w:val="0"/>
                <w:sz w:val="22"/>
              </w:rPr>
              <w:t>Samodzielna praca studenta</w:t>
            </w:r>
          </w:p>
        </w:tc>
        <w:tc>
          <w:tcPr>
            <w:tcW w:type="dxa" w:w="2991"/>
            <w:gridSpan w:val="3"/>
          </w:tcPr>
          <w:p>
            <w:pPr>
              <w:spacing w:before="20" w:after="20"/>
            </w:pPr>
            <w:r>
              <w:rPr>
                <w:rFonts w:ascii="Aptos" w:hAnsi="Aptos"/>
                <w:b w:val="0"/>
                <w:i w:val="0"/>
                <w:sz w:val="22"/>
              </w:rPr>
              <w:t>15</w:t>
            </w:r>
          </w:p>
        </w:tc>
        <w:tc>
          <w:tcPr>
            <w:tcW w:type="dxa" w:w="1994"/>
            <w:gridSpan w:val="2"/>
          </w:tcPr>
          <w:p>
            <w:pPr>
              <w:spacing w:before="20" w:after="20"/>
            </w:pPr>
            <w:r>
              <w:rPr>
                <w:rFonts w:ascii="Aptos" w:hAnsi="Aptos"/>
                <w:b w:val="0"/>
                <w:i w:val="0"/>
                <w:sz w:val="22"/>
              </w:rPr>
              <w:t>0.6</w:t>
            </w:r>
          </w:p>
        </w:tc>
      </w:tr>
      <w:tr>
        <w:tc>
          <w:tcPr>
            <w:tcW w:type="dxa" w:w="4985"/>
            <w:gridSpan w:val="5"/>
            <w:shd w:val="clear" w:color="auto" w:fill="D9D9D9"/>
          </w:tcPr>
          <w:p>
            <w:pPr>
              <w:spacing w:before="20" w:after="20"/>
            </w:pPr>
            <w:r>
              <w:rPr>
                <w:rFonts w:ascii="Aptos" w:hAnsi="Aptos"/>
                <w:b/>
                <w:i w:val="0"/>
                <w:sz w:val="16"/>
              </w:rPr>
              <w:t>Opis samodzielnej pracy studenta</w:t>
            </w:r>
          </w:p>
        </w:tc>
        <w:tc>
          <w:tcPr>
            <w:tcW w:type="dxa" w:w="4985"/>
            <w:gridSpan w:val="5"/>
          </w:tcPr>
          <w:p>
            <w:pPr>
              <w:spacing w:before="20" w:after="20"/>
            </w:pPr>
            <w:r>
              <w:rPr>
                <w:rFonts w:ascii="Aptos" w:hAnsi="Aptos"/>
                <w:b w:val="0"/>
                <w:i w:val="0"/>
                <w:sz w:val="22"/>
              </w:rPr>
              <w:t>Nauka słownictwa i gramatyki języka angielskiego; przygotowywanie prac pisemnych; przygotowanie do kolokwiów i testów; samodzielne ćwiczenia konwersacyjne i komunikacyjne.</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10.  Język wykładowy:</w:t>
            </w:r>
          </w:p>
        </w:tc>
      </w:tr>
      <w:tr>
        <w:tc>
          <w:tcPr>
            <w:tcW w:type="dxa" w:w="9972"/>
          </w:tcPr>
          <w:p>
            <w:pPr>
              <w:spacing w:before="20" w:after="20"/>
            </w:pPr>
            <w:r>
              <w:rPr>
                <w:rFonts w:ascii="Aptos" w:hAnsi="Aptos"/>
                <w:b w:val="0"/>
                <w:i w:val="0"/>
                <w:sz w:val="22"/>
              </w:rPr>
              <w:t>polski</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11.  Metody dydaktyczne:</w:t>
            </w:r>
          </w:p>
        </w:tc>
      </w:tr>
      <w:tr>
        <w:tc>
          <w:tcPr>
            <w:tcW w:type="dxa" w:w="9972"/>
          </w:tcPr>
          <w:p>
            <w:pPr>
              <w:spacing w:before="20" w:after="20"/>
            </w:pPr>
            <w:r>
              <w:rPr>
                <w:rFonts w:ascii="Aptos" w:hAnsi="Aptos"/>
                <w:b/>
                <w:sz w:val="22"/>
              </w:rPr>
              <w:t>Ćwiczenia / Laboratorium:</w:t>
            </w:r>
          </w:p>
          <w:p>
            <w:pPr>
              <w:spacing w:before="20" w:after="20"/>
            </w:pPr>
            <w:r>
              <w:rPr>
                <w:rFonts w:ascii="Aptos" w:hAnsi="Aptos"/>
                <w:b w:val="0"/>
                <w:sz w:val="22"/>
              </w:rPr>
              <w:t>• analiza tekstów z dyskusją</w:t>
            </w:r>
          </w:p>
          <w:p>
            <w:pPr>
              <w:spacing w:before="20" w:after="20"/>
            </w:pPr>
            <w:r>
              <w:rPr>
                <w:rFonts w:ascii="Aptos" w:hAnsi="Aptos"/>
                <w:b w:val="0"/>
                <w:sz w:val="22"/>
              </w:rPr>
              <w:t>• rozwiązywanie zadań</w:t>
            </w:r>
          </w:p>
          <w:p>
            <w:pPr>
              <w:spacing w:before="20" w:after="20"/>
            </w:pPr>
            <w:r>
              <w:rPr>
                <w:rFonts w:ascii="Aptos" w:hAnsi="Aptos"/>
                <w:b w:val="0"/>
                <w:sz w:val="22"/>
              </w:rPr>
              <w:t>• burza mózgów</w:t>
            </w:r>
          </w:p>
          <w:p>
            <w:pPr>
              <w:spacing w:before="20" w:after="20"/>
            </w:pPr>
            <w:r>
              <w:rPr>
                <w:rFonts w:ascii="Aptos" w:hAnsi="Aptos"/>
                <w:b w:val="0"/>
                <w:sz w:val="22"/>
              </w:rPr>
              <w:t>• praca grupowa nad projektem z wykorzystaniem nowoczesnych technik informatycznych</w:t>
            </w:r>
          </w:p>
          <w:p>
            <w:pPr>
              <w:spacing w:before="20" w:after="20"/>
            </w:pPr>
            <w:r>
              <w:rPr>
                <w:rFonts w:ascii="Aptos" w:hAnsi="Aptos"/>
                <w:b w:val="0"/>
                <w:sz w:val="22"/>
              </w:rPr>
              <w:t>• warsztaty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12.  Forma i sposób zaliczenia oraz podstawowe kryteria oceny lub wymagania egzaminacyjne:</w:t>
            </w:r>
          </w:p>
        </w:tc>
      </w:tr>
      <w:tr>
        <w:tc>
          <w:tcPr>
            <w:tcW w:type="dxa" w:w="4986"/>
            <w:shd w:val="clear" w:color="auto" w:fill="D9D9D9"/>
          </w:tcPr>
          <w:p>
            <w:pPr>
              <w:spacing w:before="20" w:after="20"/>
            </w:pPr>
            <w:r>
              <w:rPr>
                <w:rFonts w:ascii="Aptos" w:hAnsi="Aptos"/>
                <w:b/>
                <w:i w:val="0"/>
                <w:sz w:val="16"/>
              </w:rPr>
              <w:t>wykład</w:t>
            </w:r>
          </w:p>
        </w:tc>
        <w:tc>
          <w:tcPr>
            <w:tcW w:type="dxa" w:w="4986"/>
            <w:shd w:val="clear" w:color="auto" w:fill="D9D9D9"/>
          </w:tcPr>
          <w:p>
            <w:pPr>
              <w:spacing w:before="20" w:after="20"/>
            </w:pPr>
            <w:r>
              <w:rPr>
                <w:rFonts w:ascii="Aptos" w:hAnsi="Aptos"/>
                <w:b/>
                <w:i w:val="0"/>
                <w:sz w:val="16"/>
              </w:rPr>
              <w:t>ćwiczenia/laboratorium/pracownia</w:t>
            </w:r>
          </w:p>
        </w:tc>
      </w:tr>
      <w:tr>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c>
          <w:tcPr>
            <w:tcW w:type="dxa" w:w="4986"/>
          </w:tcPr>
          <w:p>
            <w:pPr>
              <w:spacing w:before="20" w:after="20"/>
            </w:pPr>
            <w:r>
              <w:rPr>
                <w:rFonts w:ascii="Aptos" w:hAnsi="Aptos"/>
                <w:sz w:val="22"/>
              </w:rPr>
              <w:t>☐ Nieoceniany</w:t>
            </w:r>
          </w:p>
          <w:p>
            <w:pPr>
              <w:spacing w:before="20" w:after="20"/>
            </w:pPr>
            <w:r>
              <w:rPr>
                <w:rFonts w:ascii="Aptos" w:hAnsi="Aptos"/>
                <w:sz w:val="22"/>
              </w:rPr>
              <w:t>☐ Zaliczenie bez oceny</w:t>
            </w:r>
          </w:p>
          <w:p>
            <w:pPr>
              <w:spacing w:before="20" w:after="20"/>
            </w:pPr>
            <w:r>
              <w:rPr>
                <w:rFonts w:ascii="Aptos" w:hAnsi="Aptos"/>
                <w:sz w:val="22"/>
              </w:rPr>
              <w:t>☑ Zaliczenie z oceną</w:t>
            </w:r>
          </w:p>
          <w:p>
            <w:pPr>
              <w:spacing w:before="20" w:after="20"/>
            </w:pPr>
            <w:r>
              <w:rPr>
                <w:rFonts w:ascii="Aptos" w:hAnsi="Aptos"/>
                <w:sz w:val="22"/>
              </w:rPr>
              <w:t>☐ Egzamin</w:t>
            </w:r>
          </w:p>
        </w:tc>
      </w:tr>
      <w:tr>
        <w:tc>
          <w:tcPr>
            <w:tcW w:type="dxa" w:w="4986"/>
            <w:shd w:val="clear" w:color="auto" w:fill="D9D9D9"/>
          </w:tcPr>
          <w:p>
            <w:pPr>
              <w:spacing w:before="20" w:after="20"/>
            </w:pPr>
            <w:r>
              <w:rPr>
                <w:rFonts w:ascii="Aptos" w:hAnsi="Aptos"/>
                <w:b/>
                <w:i w:val="0"/>
                <w:sz w:val="16"/>
              </w:rPr>
              <w:t>kryteria oceny:</w:t>
            </w:r>
          </w:p>
        </w:tc>
        <w:tc>
          <w:tcPr>
            <w:tcW w:type="dxa" w:w="4986"/>
            <w:shd w:val="clear" w:color="auto" w:fill="D9D9D9"/>
          </w:tcPr>
          <w:p>
            <w:pPr>
              <w:spacing w:before="20" w:after="20"/>
            </w:pPr>
            <w:r>
              <w:rPr>
                <w:rFonts w:ascii="Aptos" w:hAnsi="Aptos"/>
                <w:b/>
                <w:i w:val="0"/>
                <w:sz w:val="16"/>
              </w:rPr>
              <w:t>kryteria oceny:</w:t>
            </w:r>
          </w:p>
        </w:tc>
      </w:tr>
      <w:tr>
        <w:tc>
          <w:tcPr>
            <w:tcW w:type="dxa" w:w="4986"/>
          </w:tcPr>
          <w:p>
            <w:pPr>
              <w:spacing w:before="20" w:after="20"/>
            </w:pPr>
            <w:r>
              <w:rPr>
                <w:rFonts w:ascii="Aptos" w:hAnsi="Aptos"/>
                <w:b w:val="0"/>
                <w:i w:val="0"/>
                <w:sz w:val="22"/>
              </w:rPr>
            </w:r>
          </w:p>
        </w:tc>
        <w:tc>
          <w:tcPr>
            <w:tcW w:type="dxa" w:w="4986"/>
          </w:tcPr>
          <w:p>
            <w:pPr>
              <w:spacing w:before="20" w:after="20"/>
            </w:pPr>
            <w:r>
              <w:rPr>
                <w:rFonts w:ascii="Aptos" w:hAnsi="Aptos"/>
                <w:sz w:val="22"/>
              </w:rPr>
              <w:t>1. kolokwium</w:t>
            </w:r>
          </w:p>
          <w:p>
            <w:pPr>
              <w:spacing w:before="20" w:after="20"/>
            </w:pPr>
            <w:r>
              <w:rPr>
                <w:rFonts w:ascii="Aptos" w:hAnsi="Aptos"/>
                <w:sz w:val="22"/>
              </w:rPr>
              <w:t>2. egzamin ustny</w:t>
            </w:r>
          </w:p>
          <w:p>
            <w:pPr>
              <w:spacing w:before="20" w:after="20"/>
            </w:pPr>
            <w:r>
              <w:rPr>
                <w:rFonts w:ascii="Aptos" w:hAnsi="Aptos"/>
                <w:sz w:val="22"/>
              </w:rPr>
              <w:t>3.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4986"/>
        <w:gridCol w:w="4986"/>
      </w:tblGrid>
      <w:tr>
        <w:tc>
          <w:tcPr>
            <w:tcW w:type="dxa" w:w="9972"/>
            <w:gridSpan w:val="2"/>
            <w:shd w:val="clear" w:color="auto" w:fill="D9D9D9"/>
          </w:tcPr>
          <w:p>
            <w:pPr>
              <w:spacing w:before="20" w:after="20"/>
            </w:pPr>
            <w:r>
              <w:rPr>
                <w:rFonts w:ascii="Aptos" w:hAnsi="Aptos"/>
                <w:b/>
                <w:i w:val="0"/>
                <w:sz w:val="22"/>
              </w:rPr>
              <w:t>13.  Kompetencje niezbędne dla realizacji przedmiotu i przedmioty poprzedzające, z których one pochodzą:</w:t>
            </w:r>
          </w:p>
        </w:tc>
      </w:tr>
      <w:tr>
        <w:tc>
          <w:tcPr>
            <w:tcW w:type="dxa" w:w="4986"/>
            <w:shd w:val="clear" w:color="auto" w:fill="D9D9D9"/>
          </w:tcPr>
          <w:p>
            <w:pPr>
              <w:spacing w:before="20" w:after="20"/>
            </w:pPr>
            <w:r>
              <w:rPr>
                <w:rFonts w:ascii="Aptos" w:hAnsi="Aptos"/>
                <w:b/>
                <w:i w:val="0"/>
                <w:sz w:val="16"/>
              </w:rPr>
              <w:t>Nazwa przedmiotu poprzedzającego lub realizowanego równolegle</w:t>
            </w:r>
          </w:p>
        </w:tc>
        <w:tc>
          <w:tcPr>
            <w:tcW w:type="dxa" w:w="4986"/>
            <w:shd w:val="clear" w:color="auto" w:fill="D9D9D9"/>
          </w:tcPr>
          <w:p>
            <w:pPr>
              <w:spacing w:before="20" w:after="20"/>
            </w:pPr>
            <w:r>
              <w:rPr>
                <w:rFonts w:ascii="Aptos" w:hAnsi="Aptos"/>
                <w:b/>
                <w:i w:val="0"/>
                <w:sz w:val="16"/>
              </w:rPr>
              <w:t>Wymagane kompetencje niezbędne w realizacji danego przedmiotu</w:t>
            </w:r>
          </w:p>
        </w:tc>
      </w:tr>
      <w:tr>
        <w:tc>
          <w:tcPr>
            <w:tcW w:type="dxa" w:w="4986"/>
          </w:tcPr>
          <w:p>
            <w:pPr>
              <w:spacing w:before="20" w:after="20"/>
            </w:pPr>
            <w:r>
              <w:rPr>
                <w:rFonts w:ascii="Aptos" w:hAnsi="Aptos"/>
                <w:b w:val="0"/>
                <w:i w:val="0"/>
                <w:sz w:val="22"/>
              </w:rPr>
              <w:t>Brak wymagań wstępnych</w:t>
            </w:r>
          </w:p>
        </w:tc>
        <w:tc>
          <w:tcPr>
            <w:tcW w:type="dxa" w:w="4986"/>
          </w:tcPr>
          <w:p>
            <w:pPr>
              <w:spacing w:before="20" w:after="20"/>
            </w:pPr>
            <w:r>
              <w:rPr>
                <w:rFonts w:ascii="Aptos" w:hAnsi="Aptos"/>
                <w:b w:val="0"/>
                <w:i w:val="0"/>
                <w:sz w:val="22"/>
              </w:rPr>
              <w:t>Znajomość języka angielskiego na poziomie B1.</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14.  Cele przedmiotu (abstrakt w języku polskim i angielskim)</w:t>
            </w:r>
          </w:p>
        </w:tc>
      </w:tr>
      <w:tr>
        <w:tc>
          <w:tcPr>
            <w:tcW w:type="dxa" w:w="9972"/>
          </w:tcPr>
          <w:p>
            <w:pPr>
              <w:spacing w:before="20" w:after="20"/>
            </w:pPr>
            <w:r>
              <w:rPr>
                <w:rFonts w:ascii="Aptos" w:hAnsi="Aptos"/>
                <w:b/>
                <w:sz w:val="22"/>
              </w:rPr>
              <w:t>Abstrakt po polsku:</w:t>
            </w:r>
          </w:p>
          <w:p>
            <w:pPr>
              <w:spacing w:before="20" w:after="80"/>
            </w:pPr>
            <w:r>
              <w:rPr>
                <w:rFonts w:ascii="Aptos" w:hAnsi="Aptos"/>
                <w:sz w:val="22"/>
              </w:rPr>
              <w:t>Nauczanie języka angielskiego na poziomie B1/B2. Student opanowuje język angielski w stopniu pozwalającym na komunikację językową w większości sytuacji dnia codziennego i zawodowego, wyrażanie myśli i opinii, rozumienie i tworzenie krótkich tekstów pisanych i wypowiedzi ustnych na różne tematy. Student poznaje słownictwo branżowe z zakresu informatyki i technologii.</w:t>
            </w:r>
          </w:p>
          <w:p>
            <w:pPr>
              <w:spacing w:before="80" w:after="20"/>
            </w:pPr>
            <w:r>
              <w:rPr>
                <w:rFonts w:ascii="Aptos" w:hAnsi="Aptos"/>
                <w:b/>
                <w:sz w:val="22"/>
              </w:rPr>
              <w:t>Abstrakt po angielsku:</w:t>
            </w:r>
          </w:p>
          <w:p>
            <w:pPr>
              <w:spacing w:before="20" w:after="20"/>
            </w:pPr>
            <w:r>
              <w:rPr>
                <w:rFonts w:ascii="Aptos" w:hAnsi="Aptos"/>
                <w:i/>
                <w:sz w:val="22"/>
              </w:rPr>
              <w:t>English language instruction at the B1/B2 level. Students acquire English proficiency that allows them to communicate in most everyday and professional situations, express thoughts and opinions, understand and produce short written texts and spoken statements on various topics. Students also learn specialist vocabulary in IT and technology.</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680"/>
        <w:gridCol w:w="4536"/>
        <w:gridCol w:w="4252"/>
      </w:tblGrid>
      <w:tr>
        <w:tc>
          <w:tcPr>
            <w:tcW w:type="dxa" w:w="9468"/>
            <w:gridSpan w:val="3"/>
            <w:shd w:val="clear" w:color="auto" w:fill="D9D9D9"/>
          </w:tcPr>
          <w:p>
            <w:pPr>
              <w:spacing w:before="20" w:after="20"/>
            </w:pPr>
            <w:r>
              <w:rPr>
                <w:rFonts w:ascii="Aptos" w:hAnsi="Aptos"/>
                <w:b/>
                <w:i w:val="0"/>
                <w:sz w:val="22"/>
              </w:rPr>
              <w:t>15.  Treści programowe poszczególnych zajęć:</w:t>
            </w:r>
          </w:p>
        </w:tc>
      </w:tr>
      <w:tr>
        <w:tc>
          <w:tcPr>
            <w:tcW w:type="dxa" w:w="680"/>
            <w:shd w:val="clear" w:color="auto" w:fill="D9D9D9"/>
          </w:tcPr>
          <w:p>
            <w:pPr>
              <w:spacing w:before="20" w:after="20"/>
            </w:pPr>
            <w:r>
              <w:rPr>
                <w:rFonts w:ascii="Aptos" w:hAnsi="Aptos"/>
                <w:b/>
                <w:i w:val="0"/>
                <w:sz w:val="16"/>
              </w:rPr>
              <w:t>Nr zajęć</w:t>
            </w:r>
          </w:p>
        </w:tc>
        <w:tc>
          <w:tcPr>
            <w:tcW w:type="dxa" w:w="4536"/>
            <w:shd w:val="clear" w:color="auto" w:fill="D9D9D9"/>
          </w:tcPr>
          <w:p>
            <w:pPr>
              <w:spacing w:before="20" w:after="20"/>
            </w:pPr>
            <w:r>
              <w:rPr>
                <w:rFonts w:ascii="Aptos" w:hAnsi="Aptos"/>
                <w:b/>
                <w:i w:val="0"/>
                <w:sz w:val="16"/>
              </w:rPr>
              <w:t>Wykład</w:t>
            </w:r>
          </w:p>
        </w:tc>
        <w:tc>
          <w:tcPr>
            <w:tcW w:type="dxa" w:w="4252"/>
            <w:shd w:val="clear" w:color="auto" w:fill="D9D9D9"/>
          </w:tcPr>
          <w:p>
            <w:pPr>
              <w:spacing w:before="20" w:after="20"/>
            </w:pPr>
            <w:r>
              <w:rPr>
                <w:rFonts w:ascii="Aptos" w:hAnsi="Aptos"/>
                <w:b/>
                <w:i w:val="0"/>
                <w:sz w:val="16"/>
              </w:rPr>
              <w:t>Ćwiczenia / Laboratorium / Pracownia</w:t>
            </w:r>
          </w:p>
        </w:tc>
      </w:tr>
      <w:tr>
        <w:tc>
          <w:tcPr>
            <w:tcW w:type="dxa" w:w="680"/>
          </w:tcPr>
          <w:p>
            <w:pPr>
              <w:spacing w:before="20" w:after="20"/>
            </w:pPr>
            <w:r>
              <w:rPr>
                <w:rFonts w:ascii="Aptos" w:hAnsi="Aptos"/>
                <w:b w:val="0"/>
                <w:i w:val="0"/>
                <w:sz w:val="22"/>
              </w:rPr>
              <w:t>1.</w:t>
            </w:r>
          </w:p>
        </w:tc>
        <w:tc>
          <w:tcPr>
            <w:tcW w:type="dxa" w:w="4536"/>
          </w:tcPr>
          <w:p>
            <w:pPr>
              <w:spacing w:before="20" w:after="20"/>
            </w:pPr>
            <w:r>
              <w:rPr>
                <w:rFonts w:ascii="Aptos" w:hAnsi="Aptos"/>
                <w:b w:val="0"/>
                <w:i w:val="0"/>
                <w:sz w:val="22"/>
              </w:rPr>
              <w:t>Wprowadzenie, poznanie grupy, omówienie zasad i wymagań. Diagnoza poziomu językowego. Słownictwo: technologia i codzienne życie studenta.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2.</w:t>
            </w:r>
          </w:p>
        </w:tc>
        <w:tc>
          <w:tcPr>
            <w:tcW w:type="dxa" w:w="4536"/>
          </w:tcPr>
          <w:p>
            <w:pPr>
              <w:spacing w:before="20" w:after="20"/>
            </w:pPr>
            <w:r>
              <w:rPr>
                <w:rFonts w:ascii="Aptos" w:hAnsi="Aptos"/>
                <w:b w:val="0"/>
                <w:i w:val="0"/>
                <w:sz w:val="22"/>
              </w:rPr>
              <w:t>Czasy gramatyczne – przegląd i ćwiczenia: Present Simple, Present Continuous. Słownictwo: środowisko akademickie i życie studenta.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3.</w:t>
            </w:r>
          </w:p>
        </w:tc>
        <w:tc>
          <w:tcPr>
            <w:tcW w:type="dxa" w:w="4536"/>
          </w:tcPr>
          <w:p>
            <w:pPr>
              <w:spacing w:before="20" w:after="20"/>
            </w:pPr>
            <w:r>
              <w:rPr>
                <w:rFonts w:ascii="Aptos" w:hAnsi="Aptos"/>
                <w:b w:val="0"/>
                <w:i w:val="0"/>
                <w:sz w:val="22"/>
              </w:rPr>
              <w:t>Czasy przeszłe: Past Simple, Past Continuous. Słownictwo: wydarzenia i doświadczenia z przeszłości.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4.</w:t>
            </w:r>
          </w:p>
        </w:tc>
        <w:tc>
          <w:tcPr>
            <w:tcW w:type="dxa" w:w="4536"/>
          </w:tcPr>
          <w:p>
            <w:pPr>
              <w:spacing w:before="20" w:after="20"/>
            </w:pPr>
            <w:r>
              <w:rPr>
                <w:rFonts w:ascii="Aptos" w:hAnsi="Aptos"/>
                <w:b w:val="0"/>
                <w:i w:val="0"/>
                <w:sz w:val="22"/>
              </w:rPr>
              <w:t>Present Perfect vs. Past Simple – użycie i ćwiczenia. Słownictwo: osiągnięcia i doświadczenia zawodowe.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5.</w:t>
            </w:r>
          </w:p>
        </w:tc>
        <w:tc>
          <w:tcPr>
            <w:tcW w:type="dxa" w:w="4536"/>
          </w:tcPr>
          <w:p>
            <w:pPr>
              <w:spacing w:before="20" w:after="20"/>
            </w:pPr>
            <w:r>
              <w:rPr>
                <w:rFonts w:ascii="Aptos" w:hAnsi="Aptos"/>
                <w:b w:val="0"/>
                <w:i w:val="0"/>
                <w:sz w:val="22"/>
              </w:rPr>
              <w:t>Wyrażanie przyszłości: will, going to, Present Continuous. Słownictwo: plany i cele zawodowe.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6.</w:t>
            </w:r>
          </w:p>
        </w:tc>
        <w:tc>
          <w:tcPr>
            <w:tcW w:type="dxa" w:w="4536"/>
          </w:tcPr>
          <w:p>
            <w:pPr>
              <w:spacing w:before="20" w:after="20"/>
            </w:pPr>
            <w:r>
              <w:rPr>
                <w:rFonts w:ascii="Aptos" w:hAnsi="Aptos"/>
                <w:b w:val="0"/>
                <w:i w:val="0"/>
                <w:sz w:val="22"/>
              </w:rPr>
              <w:t>Tryb warunkowy I i II – użycie i ćwiczenia. Słownictwo: decyzje i scenariusze.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7.</w:t>
            </w:r>
          </w:p>
        </w:tc>
        <w:tc>
          <w:tcPr>
            <w:tcW w:type="dxa" w:w="4536"/>
          </w:tcPr>
          <w:p>
            <w:pPr>
              <w:spacing w:before="20" w:after="20"/>
            </w:pPr>
            <w:r>
              <w:rPr>
                <w:rFonts w:ascii="Aptos" w:hAnsi="Aptos"/>
                <w:b w:val="0"/>
                <w:i w:val="0"/>
                <w:sz w:val="22"/>
              </w:rPr>
              <w:t>Strona bierna – budowanie i użycie. Słownictwo: procesy technologiczne i produkcyjne.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8.</w:t>
            </w:r>
          </w:p>
        </w:tc>
        <w:tc>
          <w:tcPr>
            <w:tcW w:type="dxa" w:w="4536"/>
          </w:tcPr>
          <w:p>
            <w:pPr>
              <w:spacing w:before="20" w:after="20"/>
            </w:pPr>
            <w:r>
              <w:rPr>
                <w:rFonts w:ascii="Aptos" w:hAnsi="Aptos"/>
                <w:b w:val="0"/>
                <w:i w:val="0"/>
                <w:sz w:val="22"/>
              </w:rPr>
              <w:t>Słownictwo branżowe IT: sprzęt komputerowy, oprogramowanie, sieci. Czytanie i omawianie tekstów technicznych.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9.</w:t>
            </w:r>
          </w:p>
        </w:tc>
        <w:tc>
          <w:tcPr>
            <w:tcW w:type="dxa" w:w="4536"/>
          </w:tcPr>
          <w:p>
            <w:pPr>
              <w:spacing w:before="20" w:after="20"/>
            </w:pPr>
            <w:r>
              <w:rPr>
                <w:rFonts w:ascii="Aptos" w:hAnsi="Aptos"/>
                <w:b w:val="0"/>
                <w:i w:val="0"/>
                <w:sz w:val="22"/>
              </w:rPr>
              <w:t>Komunikacja w miejscu pracy: e-maile, raporty, prezentacje techniczne. Pisanie formalnej korespondencji.</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10.</w:t>
            </w:r>
          </w:p>
        </w:tc>
        <w:tc>
          <w:tcPr>
            <w:tcW w:type="dxa" w:w="4536"/>
          </w:tcPr>
          <w:p>
            <w:pPr>
              <w:spacing w:before="20" w:after="20"/>
            </w:pPr>
            <w:r>
              <w:rPr>
                <w:rFonts w:ascii="Aptos" w:hAnsi="Aptos"/>
                <w:b w:val="0"/>
                <w:i w:val="0"/>
                <w:sz w:val="22"/>
              </w:rPr>
              <w:t>Prezentacje w języku angielskim – struktura i techniki. Ćwiczenia praktyczne: prezentacja projektu.</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11.</w:t>
            </w:r>
          </w:p>
        </w:tc>
        <w:tc>
          <w:tcPr>
            <w:tcW w:type="dxa" w:w="4536"/>
          </w:tcPr>
          <w:p>
            <w:pPr>
              <w:spacing w:before="20" w:after="20"/>
            </w:pPr>
            <w:r>
              <w:rPr>
                <w:rFonts w:ascii="Aptos" w:hAnsi="Aptos"/>
                <w:b w:val="0"/>
                <w:i w:val="0"/>
                <w:sz w:val="22"/>
              </w:rPr>
              <w:t>Słownictwo IT: bazy danych, programowanie, algorytmy. Analiza anglojęzycznych dokumentacji technicznych.</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12.</w:t>
            </w:r>
          </w:p>
        </w:tc>
        <w:tc>
          <w:tcPr>
            <w:tcW w:type="dxa" w:w="4536"/>
          </w:tcPr>
          <w:p>
            <w:pPr>
              <w:spacing w:before="20" w:after="20"/>
            </w:pPr>
            <w:r>
              <w:rPr>
                <w:rFonts w:ascii="Aptos" w:hAnsi="Aptos"/>
                <w:b w:val="0"/>
                <w:i w:val="0"/>
                <w:sz w:val="22"/>
              </w:rPr>
              <w:t>Rozmowa kwalifikacyjna w języku angielskim – słownictwo, typowe pytania, ćwiczenia symulacyjne.</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13.</w:t>
            </w:r>
          </w:p>
        </w:tc>
        <w:tc>
          <w:tcPr>
            <w:tcW w:type="dxa" w:w="4536"/>
          </w:tcPr>
          <w:p>
            <w:pPr>
              <w:spacing w:before="20" w:after="20"/>
            </w:pPr>
            <w:r>
              <w:rPr>
                <w:rFonts w:ascii="Aptos" w:hAnsi="Aptos"/>
                <w:b w:val="0"/>
                <w:i w:val="0"/>
                <w:sz w:val="22"/>
              </w:rPr>
              <w:t>Czytanie ze zrozumieniem – artykuły z prasy anglojęzycznej (TechCrunch, Wired). Dyskusja.</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14.</w:t>
            </w:r>
          </w:p>
        </w:tc>
        <w:tc>
          <w:tcPr>
            <w:tcW w:type="dxa" w:w="4536"/>
          </w:tcPr>
          <w:p>
            <w:pPr>
              <w:spacing w:before="20" w:after="20"/>
            </w:pPr>
            <w:r>
              <w:rPr>
                <w:rFonts w:ascii="Aptos" w:hAnsi="Aptos"/>
                <w:b w:val="0"/>
                <w:i w:val="0"/>
                <w:sz w:val="22"/>
              </w:rPr>
              <w:t>Pisanie CV i listu motywacyjnego w języku angielskim. Analiza przykładów.</w:t>
            </w:r>
          </w:p>
        </w:tc>
        <w:tc>
          <w:tcPr>
            <w:tcW w:type="dxa" w:w="4252"/>
          </w:tcPr>
          <w:p>
            <w:pPr>
              <w:spacing w:before="20" w:after="20"/>
            </w:pPr>
            <w:r>
              <w:rPr>
                <w:rFonts w:ascii="Aptos" w:hAnsi="Aptos"/>
                <w:b w:val="0"/>
                <w:i w:val="0"/>
                <w:sz w:val="22"/>
              </w:rPr>
            </w:r>
          </w:p>
        </w:tc>
      </w:tr>
      <w:tr>
        <w:tc>
          <w:tcPr>
            <w:tcW w:type="dxa" w:w="680"/>
          </w:tcPr>
          <w:p>
            <w:pPr>
              <w:spacing w:before="20" w:after="20"/>
            </w:pPr>
            <w:r>
              <w:rPr>
                <w:rFonts w:ascii="Aptos" w:hAnsi="Aptos"/>
                <w:b w:val="0"/>
                <w:i w:val="0"/>
                <w:sz w:val="22"/>
              </w:rPr>
              <w:t>15.</w:t>
            </w:r>
          </w:p>
        </w:tc>
        <w:tc>
          <w:tcPr>
            <w:tcW w:type="dxa" w:w="4536"/>
          </w:tcPr>
          <w:p>
            <w:pPr>
              <w:spacing w:before="20" w:after="20"/>
            </w:pPr>
            <w:r>
              <w:rPr>
                <w:rFonts w:ascii="Aptos" w:hAnsi="Aptos"/>
                <w:b w:val="0"/>
                <w:i w:val="0"/>
                <w:sz w:val="22"/>
              </w:rPr>
              <w:t>Powtórzenie materiału, kolokwium zaliczeniowe.</w:t>
            </w:r>
          </w:p>
        </w:tc>
        <w:tc>
          <w:tcPr>
            <w:tcW w:type="dxa" w:w="425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16.  Elektroniczne materiały dydaktyczne</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17.  Wykaz literatury</w:t>
            </w:r>
          </w:p>
        </w:tc>
      </w:tr>
      <w:tr>
        <w:tc>
          <w:tcPr>
            <w:tcW w:type="dxa" w:w="9972"/>
            <w:shd w:val="clear" w:color="auto" w:fill="D9D9D9"/>
          </w:tcPr>
          <w:p>
            <w:pPr>
              <w:spacing w:before="20" w:after="20"/>
            </w:pPr>
            <w:r>
              <w:rPr>
                <w:rFonts w:ascii="Aptos" w:hAnsi="Aptos"/>
                <w:b w:val="0"/>
                <w:i w:val="0"/>
                <w:sz w:val="16"/>
              </w:rPr>
              <w:t>Literatura wymagana do ostatecznego zaliczenia zajęć, wykorzystywana podczas zajęć oraz studiowana samodzielnie przez studenta:</w:t>
            </w:r>
          </w:p>
        </w:tc>
      </w:tr>
      <w:tr>
        <w:tc>
          <w:tcPr>
            <w:tcW w:type="dxa" w:w="9972"/>
          </w:tcPr>
          <w:p>
            <w:pPr>
              <w:spacing w:before="20" w:after="20"/>
            </w:pPr>
            <w:r>
              <w:rPr>
                <w:rFonts w:ascii="Aptos" w:hAnsi="Aptos"/>
                <w:sz w:val="22"/>
              </w:rPr>
              <w:t>1. Materiały własne przygotowane przez lektora.</w:t>
            </w:r>
          </w:p>
          <w:p>
            <w:pPr>
              <w:spacing w:before="20" w:after="20"/>
            </w:pPr>
            <w:r>
              <w:rPr>
                <w:rFonts w:ascii="Aptos" w:hAnsi="Aptos"/>
                <w:sz w:val="22"/>
              </w:rPr>
              <w:t>2. Podręcznik wskazany przez lektora prowadzącego na początku semestru.</w:t>
            </w:r>
          </w:p>
        </w:tc>
      </w:tr>
      <w:tr>
        <w:tc>
          <w:tcPr>
            <w:tcW w:type="dxa" w:w="9972"/>
            <w:shd w:val="clear" w:color="auto" w:fill="D9D9D9"/>
          </w:tcPr>
          <w:p>
            <w:pPr>
              <w:spacing w:before="20" w:after="20"/>
            </w:pPr>
            <w:r>
              <w:rPr>
                <w:rFonts w:ascii="Aptos" w:hAnsi="Aptos"/>
                <w:b w:val="0"/>
                <w:i w:val="0"/>
                <w:sz w:val="16"/>
              </w:rPr>
              <w:t>Literatura uzupełniająca:</w:t>
            </w:r>
          </w:p>
        </w:tc>
      </w:tr>
      <w:tr>
        <w:tc>
          <w:tcPr>
            <w:tcW w:type="dxa" w:w="9972"/>
          </w:tcPr>
          <w:p>
            <w:pPr>
              <w:spacing w:before="20" w:after="20"/>
            </w:pPr>
            <w:r>
              <w:rPr>
                <w:rFonts w:ascii="Aptos" w:hAnsi="Aptos"/>
                <w:sz w:val="22"/>
              </w:rPr>
              <w:t>1. Oxford Advanced Learner's Dictionary, Oxford University Press.</w:t>
            </w:r>
          </w:p>
          <w:p>
            <w:pPr>
              <w:spacing w:before="20" w:after="20"/>
            </w:pPr>
            <w:r>
              <w:rPr>
                <w:rFonts w:ascii="Aptos" w:hAnsi="Aptos"/>
                <w:sz w:val="22"/>
              </w:rPr>
              <w:t>2. Materiały online: BBC Learning English (bbc.co.uk/learningenglish), British Council (learnenglish.britishcouncil.org).</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18.  Wiedza nabywana / dostarczana uczestnikom w trakcie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19.  Umiejętności nabywane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K_U02</w:t>
            </w:r>
          </w:p>
        </w:tc>
        <w:tc>
          <w:tcPr>
            <w:tcW w:type="dxa" w:w="3324"/>
          </w:tcPr>
          <w:p>
            <w:pPr>
              <w:spacing w:before="20" w:after="20"/>
            </w:pPr>
            <w:r>
              <w:rPr>
                <w:rFonts w:ascii="Aptos" w:hAnsi="Aptos"/>
                <w:b w:val="0"/>
                <w:i w:val="0"/>
                <w:sz w:val="22"/>
              </w:rPr>
              <w:t>Student potrafi konstruować wypowiedzi pisemne i ustne w języku angielskim z wykorzystaniem opracowań dydaktycznych zgodnie z zasadami przewidzianymi dla danej formy.</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t>K_U03</w:t>
            </w:r>
          </w:p>
        </w:tc>
        <w:tc>
          <w:tcPr>
            <w:tcW w:type="dxa" w:w="3324"/>
          </w:tcPr>
          <w:p>
            <w:pPr>
              <w:spacing w:before="20" w:after="20"/>
            </w:pPr>
            <w:r>
              <w:rPr>
                <w:rFonts w:ascii="Aptos" w:hAnsi="Aptos"/>
                <w:b w:val="0"/>
                <w:i w:val="0"/>
                <w:sz w:val="22"/>
              </w:rPr>
              <w:t>Student potrafi posługiwać się językiem angielskim w mowie i piśmie na poziomie B1/B2.</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20.  Kompetencje społeczne (postawy) kształtowane podczas realizacji przedmiotu</w:t>
            </w:r>
          </w:p>
        </w:tc>
      </w:tr>
      <w:tr>
        <w:tc>
          <w:tcPr>
            <w:tcW w:type="dxa" w:w="3324"/>
            <w:shd w:val="clear" w:color="auto" w:fill="D9D9D9"/>
          </w:tcPr>
          <w:p>
            <w:pPr>
              <w:spacing w:before="20" w:after="20"/>
            </w:pPr>
            <w:r>
              <w:rPr>
                <w:rFonts w:ascii="Aptos" w:hAnsi="Aptos"/>
                <w:b/>
                <w:i w:val="0"/>
                <w:sz w:val="18"/>
              </w:rPr>
              <w:t>Kierunkowe efekty uczenia się (kody)</w:t>
            </w:r>
          </w:p>
        </w:tc>
        <w:tc>
          <w:tcPr>
            <w:tcW w:type="dxa" w:w="3324"/>
            <w:shd w:val="clear" w:color="auto" w:fill="D9D9D9"/>
          </w:tcPr>
          <w:p>
            <w:pPr>
              <w:spacing w:before="20" w:after="20"/>
            </w:pPr>
            <w:r>
              <w:rPr>
                <w:rFonts w:ascii="Aptos" w:hAnsi="Aptos"/>
                <w:b/>
                <w:i w:val="0"/>
                <w:sz w:val="18"/>
              </w:rPr>
              <w:t>Przedmiotowy efekt uczenia się</w:t>
            </w:r>
          </w:p>
        </w:tc>
        <w:tc>
          <w:tcPr>
            <w:tcW w:type="dxa" w:w="3324"/>
            <w:shd w:val="clear" w:color="auto" w:fill="D9D9D9"/>
          </w:tcPr>
          <w:p>
            <w:pPr>
              <w:spacing w:before="20" w:after="20"/>
            </w:pPr>
            <w:r>
              <w:rPr>
                <w:rFonts w:ascii="Aptos" w:hAnsi="Aptos"/>
                <w:b/>
                <w:i w:val="0"/>
                <w:sz w:val="18"/>
              </w:rPr>
              <w:t>Metody weryfikacji osiągnięcia efektu uczenia się</w:t>
            </w:r>
          </w:p>
        </w:tc>
      </w:tr>
      <w:tr>
        <w:tc>
          <w:tcPr>
            <w:tcW w:type="dxa" w:w="3324"/>
          </w:tcPr>
          <w:p>
            <w:pPr>
              <w:spacing w:before="20" w:after="20"/>
            </w:pPr>
            <w:r>
              <w:rPr>
                <w:rFonts w:ascii="Aptos" w:hAnsi="Aptos"/>
                <w:b w:val="0"/>
                <w:i w:val="0"/>
                <w:sz w:val="22"/>
              </w:rPr>
              <w:t>K_K03</w:t>
            </w:r>
          </w:p>
        </w:tc>
        <w:tc>
          <w:tcPr>
            <w:tcW w:type="dxa" w:w="3324"/>
          </w:tcPr>
          <w:p>
            <w:pPr>
              <w:spacing w:before="20" w:after="20"/>
            </w:pPr>
            <w:r>
              <w:rPr>
                <w:rFonts w:ascii="Aptos" w:hAnsi="Aptos"/>
                <w:b w:val="0"/>
                <w:i w:val="0"/>
                <w:sz w:val="22"/>
              </w:rPr>
              <w:t>Student jest gotów do permanentnego doskonalenia kompetencji językowych w celach zawodowych.</w:t>
            </w:r>
          </w:p>
        </w:tc>
        <w:tc>
          <w:tcPr>
            <w:tcW w:type="dxa" w:w="3324"/>
          </w:tcPr>
          <w:p>
            <w:pPr>
              <w:spacing w:before="20" w:after="20"/>
            </w:pPr>
            <w:r>
              <w:rPr>
                <w:rFonts w:ascii="Aptos" w:hAnsi="Aptos"/>
                <w:b w:val="0"/>
                <w:i w:val="0"/>
                <w:sz w:val="22"/>
              </w:rPr>
              <w:t>kolokwium; egzamin ustny; ocena sporządzonego dokumentu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t>Student jest gotów do ciągłego samokształcenia własnych kompetencji językowych oraz dostrzega potrzebę podejmowania inicjatyw w dziedzinach biznesowych.</w:t>
            </w:r>
          </w:p>
        </w:tc>
        <w:tc>
          <w:tcPr>
            <w:tcW w:type="dxa" w:w="3324"/>
          </w:tcPr>
          <w:p>
            <w:pPr>
              <w:spacing w:before="20" w:after="20"/>
            </w:pPr>
            <w:r>
              <w:rPr>
                <w:rFonts w:ascii="Aptos" w:hAnsi="Aptos"/>
                <w:b w:val="0"/>
                <w:i w:val="0"/>
                <w:sz w:val="22"/>
              </w:rPr>
              <w:t>kolokwium; egzamin ustny; ocena sporządzonego dokumentu</w:t>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3324"/>
        <w:gridCol w:w="3324"/>
        <w:gridCol w:w="3324"/>
      </w:tblGrid>
      <w:tr>
        <w:tc>
          <w:tcPr>
            <w:tcW w:type="dxa" w:w="9972"/>
            <w:gridSpan w:val="3"/>
            <w:shd w:val="clear" w:color="auto" w:fill="D9D9D9"/>
          </w:tcPr>
          <w:p>
            <w:pPr>
              <w:spacing w:before="20" w:after="20"/>
            </w:pPr>
            <w:r>
              <w:rPr>
                <w:rFonts w:ascii="Aptos" w:hAnsi="Aptos"/>
                <w:b/>
                <w:i w:val="0"/>
                <w:sz w:val="22"/>
              </w:rPr>
              <w:t>21.  Wymagania dotyczące laboratorium, w którym odbywają się zajęcia z niniejszego przedmiotu</w:t>
            </w:r>
          </w:p>
        </w:tc>
      </w:tr>
      <w:tr>
        <w:tc>
          <w:tcPr>
            <w:tcW w:type="dxa" w:w="3324"/>
            <w:shd w:val="clear" w:color="auto" w:fill="D9D9D9"/>
          </w:tcPr>
          <w:p>
            <w:pPr>
              <w:spacing w:before="20" w:after="20"/>
            </w:pPr>
            <w:r>
              <w:rPr>
                <w:rFonts w:ascii="Aptos" w:hAnsi="Aptos"/>
                <w:b/>
                <w:i w:val="0"/>
                <w:sz w:val="16"/>
              </w:rPr>
              <w:t>Parametry dla stanowisk komputerowych</w:t>
            </w:r>
          </w:p>
        </w:tc>
        <w:tc>
          <w:tcPr>
            <w:tcW w:type="dxa" w:w="3324"/>
            <w:shd w:val="clear" w:color="auto" w:fill="D9D9D9"/>
          </w:tcPr>
          <w:p>
            <w:pPr>
              <w:spacing w:before="20" w:after="20"/>
            </w:pPr>
            <w:r>
              <w:rPr>
                <w:rFonts w:ascii="Aptos" w:hAnsi="Aptos"/>
                <w:b/>
                <w:i w:val="0"/>
                <w:sz w:val="16"/>
              </w:rPr>
              <w:t>Oprogramowanie konieczne do realizacji przedmiotu</w:t>
            </w:r>
          </w:p>
        </w:tc>
        <w:tc>
          <w:tcPr>
            <w:tcW w:type="dxa" w:w="3324"/>
            <w:shd w:val="clear" w:color="auto" w:fill="D9D9D9"/>
          </w:tcPr>
          <w:p>
            <w:pPr>
              <w:spacing w:before="20" w:after="20"/>
            </w:pPr>
            <w:r>
              <w:rPr>
                <w:rFonts w:ascii="Aptos" w:hAnsi="Aptos"/>
                <w:b/>
                <w:i w:val="0"/>
                <w:sz w:val="16"/>
              </w:rPr>
              <w:t>Wyposażenie specjalistyczne konieczne do realizacji przedmiotu</w:t>
            </w:r>
          </w:p>
        </w:tc>
      </w:tr>
      <w:tr>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c>
          <w:tcPr>
            <w:tcW w:type="dxa" w:w="3324"/>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22.  Informacje dodatkowe – certyfikaty do których przygotowuje przedmiot</w:t>
            </w:r>
          </w:p>
        </w:tc>
      </w:tr>
      <w:tr>
        <w:tc>
          <w:tcPr>
            <w:tcW w:type="dxa" w:w="9972"/>
          </w:tcPr>
          <w:p>
            <w:pPr>
              <w:spacing w:before="20" w:after="20"/>
            </w:pPr>
            <w:r>
              <w:rPr>
                <w:rFonts w:ascii="Aptos" w:hAnsi="Aptos"/>
                <w:b w:val="0"/>
                <w:i w:val="0"/>
                <w:sz w:val="22"/>
              </w:rPr>
            </w:r>
          </w:p>
        </w:tc>
      </w:tr>
    </w:tbl>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W w:w="5000" w:type="pct"/>
      </w:tblPr>
      <w:tblGrid>
        <w:gridCol w:w="9972"/>
      </w:tblGrid>
      <w:tr>
        <w:tc>
          <w:tcPr>
            <w:tcW w:type="dxa" w:w="9972"/>
            <w:shd w:val="clear" w:color="auto" w:fill="D9D9D9"/>
          </w:tcPr>
          <w:p>
            <w:pPr>
              <w:spacing w:before="20" w:after="20"/>
            </w:pPr>
            <w:r>
              <w:rPr>
                <w:rFonts w:ascii="Aptos" w:hAnsi="Aptos"/>
                <w:b/>
                <w:i w:val="0"/>
                <w:sz w:val="22"/>
              </w:rPr>
              <w:t>23.  Uzasadnienie dla prowadzenia przedmiotu - współpraca z rynkiem pracy</w:t>
            </w:r>
          </w:p>
        </w:tc>
      </w:tr>
      <w:tr>
        <w:tc>
          <w:tcPr>
            <w:tcW w:type="dxa" w:w="9972"/>
            <w:shd w:val="clear" w:color="auto" w:fill="D9D9D9"/>
          </w:tcPr>
          <w:p>
            <w:pPr>
              <w:spacing w:before="20" w:after="20"/>
            </w:pPr>
            <w:r>
              <w:rPr>
                <w:rFonts w:ascii="Aptos" w:hAnsi="Aptos"/>
                <w:b w:val="0"/>
                <w:i w:val="0"/>
                <w:sz w:val="16"/>
              </w:rPr>
              <w:t>A.  W jakiego typu firmach bądź dziedzinach gospodarki będą potrzebne umiejętności nabyte w trakcie zajęć:</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B.  W jakich zawodach wiedza i umiejętności nabyte podczas zajęć są istotne:</w:t>
            </w:r>
          </w:p>
        </w:tc>
      </w:tr>
      <w:tr>
        <w:tc>
          <w:tcPr>
            <w:tcW w:type="dxa" w:w="9972"/>
          </w:tcPr>
          <w:p>
            <w:pPr>
              <w:spacing w:before="20" w:after="20"/>
            </w:pPr>
            <w:r>
              <w:rPr>
                <w:rFonts w:ascii="Aptos" w:hAnsi="Aptos"/>
                <w:b w:val="0"/>
                <w:i w:val="0"/>
                <w:sz w:val="22"/>
              </w:rPr>
            </w:r>
          </w:p>
        </w:tc>
      </w:tr>
      <w:tr>
        <w:tc>
          <w:tcPr>
            <w:tcW w:type="dxa" w:w="9972"/>
            <w:shd w:val="clear" w:color="auto" w:fill="D9D9D9"/>
          </w:tcPr>
          <w:p>
            <w:pPr>
              <w:spacing w:before="20" w:after="20"/>
            </w:pPr>
            <w:r>
              <w:rPr>
                <w:rFonts w:ascii="Aptos" w:hAnsi="Aptos"/>
                <w:b w:val="0"/>
                <w:i w:val="0"/>
                <w:sz w:val="16"/>
              </w:rPr>
              <w:t>C.  Przykładowe tematy prac dyplomowych i projektów badawczych:</w:t>
            </w:r>
          </w:p>
        </w:tc>
      </w:tr>
      <w:tr>
        <w:tc>
          <w:tcPr>
            <w:tcW w:type="dxa" w:w="9972"/>
          </w:tcPr>
          <w:p>
            <w:pPr>
              <w:spacing w:before="20" w:after="20"/>
            </w:pPr>
            <w:r>
              <w:rPr>
                <w:rFonts w:ascii="Aptos" w:hAnsi="Aptos"/>
                <w:b w:val="0"/>
                <w:i w:val="0"/>
                <w:sz w:val="22"/>
              </w:rPr>
            </w:r>
          </w:p>
        </w:tc>
      </w:tr>
    </w:tbl>
    <w:sectPr w:rsidR="00FC693F" w:rsidRPr="0006063C" w:rsidSect="00034616">
      <w:pgSz w:w="12240" w:h="15840"/>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