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japoński</w:t>
            </w:r>
          </w:p>
        </w:tc>
        <w:tc>
          <w:tcPr>
            <w:tcW w:type="dxa" w:w="4986"/>
            <w:gridSpan w:val="2"/>
          </w:tcPr>
          <w:p>
            <w:pPr>
              <w:spacing w:before="20" w:after="20"/>
            </w:pPr>
            <w:r>
              <w:rPr>
                <w:rFonts w:ascii="Aptos" w:hAnsi="Aptos"/>
                <w:b w:val="0"/>
                <w:i w:val="0"/>
                <w:sz w:val="22"/>
              </w:rPr>
              <w:t>04.03.2026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JAP1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60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15</w:t>
            </w:r>
          </w:p>
        </w:tc>
        <w:tc>
          <w:tcPr>
            <w:tcW w:type="dxa" w:w="1994"/>
            <w:gridSpan w:val="2"/>
          </w:tcPr>
          <w:p>
            <w:pPr>
              <w:spacing w:before="20" w:after="20"/>
            </w:pPr>
            <w:r>
              <w:rPr>
                <w:rFonts w:ascii="Aptos" w:hAnsi="Aptos"/>
                <w:b w:val="0"/>
                <w:i w:val="0"/>
                <w:sz w:val="22"/>
              </w:rPr>
              <w:t>0.6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pisma japońskiego (hiragana, katakana, kanji); ćwiczenia gramatyczne i słownikowe; przygotowanie do kolokwiów i testów; ćwiczenie konwersacji.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ANG3</w:t>
            </w:r>
          </w:p>
        </w:tc>
        <w:tc>
          <w:tcPr>
            <w:tcW w:type="dxa" w:w="4986"/>
          </w:tcPr>
          <w:p>
            <w:pPr>
              <w:spacing w:before="20" w:after="20"/>
            </w:pPr>
            <w:r>
              <w:rPr>
                <w:rFonts w:ascii="Aptos" w:hAnsi="Aptos"/>
                <w:b w:val="0"/>
                <w:i w:val="0"/>
                <w:sz w:val="22"/>
              </w:rPr>
              <w:t>brak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japońskiego od podstaw. Student opanowuje język japoński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Japonii i krajach obszaru języka japońskiego.</w:t>
            </w:r>
          </w:p>
          <w:p>
            <w:pPr>
              <w:spacing w:before="80" w:after="20"/>
            </w:pPr>
            <w:r>
              <w:rPr>
                <w:rFonts w:ascii="Aptos" w:hAnsi="Aptos"/>
                <w:b/>
                <w:sz w:val="22"/>
              </w:rPr>
              <w:t>Abstrakt po angielsku:</w:t>
            </w:r>
          </w:p>
          <w:p>
            <w:pPr>
              <w:spacing w:before="20" w:after="20"/>
            </w:pPr>
            <w:r>
              <w:rPr>
                <w:rFonts w:ascii="Aptos" w:hAnsi="Aptos"/>
                <w:i/>
                <w:sz w:val="22"/>
              </w:rPr>
              <w:t>Japanese language instruction from scratch. Students acquire Japanese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Japan and Japanese-speaking regions.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Nauka znaków katakany: a,i,u,e,o /  ka,ki,ku,ke,ko,ga,gi,gu,ge,go / lekcja 4 – godziny i minuty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Nauka znaków katakany:  sa,shi,su,se,so,za,ji,zu,ze,zo /  wybrane znaki kanji, słuchanie, partykuła wo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Nauka znaków katakany:  ta,chi,tsu,te,to,da,di,du,de,do ,na,ni,nu,ne,no, nauka wybranych znaków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Nauka znaków katakany :ha,hi,fu,he,ho,ba,bi,bu,be,bo,pa,pi,pu,pe / wypracowanie: mój dzień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Nauka znaków katakany: ma,mi,mu,me,mo, ya,yu,yo, Dodatki do katakany, lekcja 5 -budowanie zdań i pytań, partykuła ka i mo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Nauka znaków katakany: ra,ri,ru,re,ro,wa,wo,n   Lekcja 6, forma masenka i forma mashō, nowe słownictwo: kino, muzeum, sklep itp. ,</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Nauka znaków katakany nowe znaki kanji, budowanie zdań, partykuła de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Kolokwium 1 (z katakany) / słuchanie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Nauka znaków katakany (dodatki) , budowanie dialogów z czasownikami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Dni tygodnia, miesiące i dni miesiąca, nowe znaki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Partykuły kara i made, słownictwo związane z miejscem i budowa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Środki transportu i partykuła de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Przymiotniki – i-przymiotniki, na-przymiotniki  i budowa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Powtórzenie materiału z całego semestru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kolokwium (z całej katakany)</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Linda Czernichowska-Kramarz Japoński w obrazkach. Słownik, rozmówki, gramatyka wyd. Edgar</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Minna no nihongo I – główny podręcznik  wyd. 3anetwork Japonia</w:t>
            </w:r>
          </w:p>
          <w:p>
            <w:pPr>
              <w:spacing w:before="20" w:after="20"/>
            </w:pPr>
            <w:r>
              <w:rPr>
                <w:rFonts w:ascii="Aptos" w:hAnsi="Aptos"/>
                <w:sz w:val="22"/>
              </w:rPr>
              <w:t>2. Minna no nihongo I choukai– słuchanie  wyd. 3anetwork Japonia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proste wypowiedzi pisemne i ustne w języku japońskim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japońskim w mowie i piśmie na poziomie JLPT N4.</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