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Język japoński 4</w:t>
            </w:r>
          </w:p>
        </w:tc>
        <w:tc>
          <w:tcPr>
            <w:tcW w:type="dxa" w:w="4986"/>
            <w:gridSpan w:val="2"/>
          </w:tcPr>
          <w:p>
            <w:pPr>
              <w:spacing w:before="20" w:after="20"/>
            </w:pPr>
            <w:r>
              <w:rPr>
                <w:rFonts w:ascii="Aptos" w:hAnsi="Aptos"/>
                <w:b w:val="0"/>
                <w:i w:val="0"/>
                <w:sz w:val="22"/>
              </w:rPr>
              <w:t>05.03.2026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JAP4</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lektorat</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8</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Studium Języków Obcych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16</w:t>
            </w:r>
          </w:p>
        </w:tc>
        <w:tc>
          <w:tcPr>
            <w:tcW w:type="dxa" w:w="1994"/>
            <w:gridSpan w:val="2"/>
          </w:tcPr>
          <w:p>
            <w:pPr>
              <w:spacing w:before="20" w:after="20"/>
            </w:pPr>
            <w:r>
              <w:rPr>
                <w:rFonts w:ascii="Aptos" w:hAnsi="Aptos"/>
                <w:b w:val="0"/>
                <w:i w:val="0"/>
                <w:sz w:val="22"/>
              </w:rPr>
              <w:t>0.6</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44</w:t>
            </w:r>
          </w:p>
        </w:tc>
        <w:tc>
          <w:tcPr>
            <w:tcW w:type="dxa" w:w="1994"/>
            <w:gridSpan w:val="2"/>
          </w:tcPr>
          <w:p>
            <w:pPr>
              <w:spacing w:before="20" w:after="20"/>
            </w:pPr>
            <w:r>
              <w:rPr>
                <w:rFonts w:ascii="Aptos" w:hAnsi="Aptos"/>
                <w:b w:val="0"/>
                <w:i w:val="0"/>
                <w:sz w:val="22"/>
              </w:rPr>
              <w:t>1.8</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Nauka pisma japońskiego; ćwiczenia gramatyczne i słownikowe na poziomie zaawansowanym; przygotowanie do kolokwiów i testów; ćwiczenie konwersacji.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analiza tekstów z dyskusją</w:t>
            </w:r>
          </w:p>
          <w:p>
            <w:pPr>
              <w:spacing w:before="20" w:after="20"/>
            </w:pPr>
            <w:r>
              <w:rPr>
                <w:rFonts w:ascii="Aptos" w:hAnsi="Aptos"/>
                <w:b w:val="0"/>
                <w:sz w:val="22"/>
              </w:rPr>
              <w:t>• rozwiązywanie zadań</w:t>
            </w:r>
          </w:p>
          <w:p>
            <w:pPr>
              <w:spacing w:before="20" w:after="20"/>
            </w:pPr>
            <w:r>
              <w:rPr>
                <w:rFonts w:ascii="Aptos" w:hAnsi="Aptos"/>
                <w:b w:val="0"/>
                <w:sz w:val="22"/>
              </w:rPr>
              <w:t>• burza mózgów</w:t>
            </w:r>
          </w:p>
          <w:p>
            <w:pPr>
              <w:spacing w:before="20" w:after="20"/>
            </w:pPr>
            <w:r>
              <w:rPr>
                <w:rFonts w:ascii="Aptos" w:hAnsi="Aptos"/>
                <w:b w:val="0"/>
                <w:sz w:val="22"/>
              </w:rPr>
              <w:t>• mind map</w:t>
            </w:r>
          </w:p>
          <w:p>
            <w:pPr>
              <w:spacing w:before="20" w:after="20"/>
            </w:pPr>
            <w:r>
              <w:rPr>
                <w:rFonts w:ascii="Aptos" w:hAnsi="Aptos"/>
                <w:b w:val="0"/>
                <w:sz w:val="22"/>
              </w:rPr>
              <w:t>• praca grupowa nad projektem z wykorzystaniem nowoczesnych technik informatycznych</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kolokwium</w:t>
            </w:r>
          </w:p>
          <w:p>
            <w:pPr>
              <w:spacing w:before="20" w:after="20"/>
            </w:pPr>
            <w:r>
              <w:rPr>
                <w:rFonts w:ascii="Aptos" w:hAnsi="Aptos"/>
                <w:sz w:val="22"/>
              </w:rPr>
              <w:t>2. egzamin ustny</w:t>
            </w:r>
          </w:p>
          <w:p>
            <w:pPr>
              <w:spacing w:before="20" w:after="20"/>
            </w:pPr>
            <w:r>
              <w:rPr>
                <w:rFonts w:ascii="Aptos" w:hAnsi="Aptos"/>
                <w:sz w:val="22"/>
              </w:rPr>
              <w:t>3.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JAP3</w:t>
            </w:r>
          </w:p>
        </w:tc>
        <w:tc>
          <w:tcPr>
            <w:tcW w:type="dxa" w:w="4986"/>
          </w:tcPr>
          <w:p>
            <w:pPr>
              <w:spacing w:before="20" w:after="20"/>
            </w:pPr>
            <w:r>
              <w:rPr>
                <w:rFonts w:ascii="Aptos" w:hAnsi="Aptos"/>
                <w:b w:val="0"/>
                <w:i w:val="0"/>
                <w:sz w:val="22"/>
              </w:rPr>
              <w:t>Znajomość zagadnień z JAP3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Nauczanie języka japońskiego od podstaw. Student  opanowuje język japoński w stopniu pozwalającym na komunikację językową w większości sytuacji dnia codziennego i częściowo zawodowego, wyrażanie myśli i opinii, rozumienie i tworzenie krótkich tekstów pisanych i wypowiedzi ustnych na różne tematy. Student poznaje elementy kultury, historii i realiów życia codziennego w Japonii i krajach obszaru języka japońskiego.</w:t>
            </w:r>
          </w:p>
          <w:p>
            <w:pPr>
              <w:spacing w:before="80" w:after="20"/>
            </w:pPr>
            <w:r>
              <w:rPr>
                <w:rFonts w:ascii="Aptos" w:hAnsi="Aptos"/>
                <w:b/>
                <w:sz w:val="22"/>
              </w:rPr>
              <w:t>Abstrakt po angielsku:</w:t>
            </w:r>
          </w:p>
          <w:p>
            <w:pPr>
              <w:spacing w:before="20" w:after="20"/>
            </w:pPr>
            <w:r>
              <w:rPr>
                <w:rFonts w:ascii="Aptos" w:hAnsi="Aptos"/>
                <w:i/>
                <w:sz w:val="22"/>
              </w:rPr>
              <w:t>Japanese language instruction from scratch. Students acquire Japanese proficiency enabling communication in most everyday situations and, to some extent, professional contexts, as well as expressing thoughts and opinions and understanding and producing short written texts and spoken statements on various topics. Students also learn about the culture, history, and everyday life of Japan and Japanese-speaking regions.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Konstrukcja gramatyczna : ndesu, teitadakemasenka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Konstrukcja _shi,_shi / ćwiczenie pisemne: ogłoszenie w języku japońskim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Forma -ga dekimashita / ćwiczenie pisemne: opis postaci „wybrana postać z anime lub mangi”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Znaki kanji  i budowanie zdań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Znaki kanji i budowanie zdań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Czasowniki zakładania i zdejmowania – chakudatsudōshi powtórzenie i budowa zdań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Znaki kanji i budowanie zdań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Znaki kanji i budowanie zdań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Nowe kanji i układanie do nich zdań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Forma -tagatteimasu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Budowa zdań do formy -teshimau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Budowa zdań do formy -teoku,,-tearu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Partykuła de -  bnowe zastosowanie partykuły de + czytanka”trzęsienie ziemi w Japonii”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Rodzina i klasyfikatory-zadanie ze słuchu + czytanka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Nowe kanji i układanie do nich zdań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16.</w:t>
            </w:r>
          </w:p>
        </w:tc>
        <w:tc>
          <w:tcPr>
            <w:tcW w:type="dxa" w:w="4536"/>
          </w:tcPr>
          <w:p>
            <w:pPr>
              <w:spacing w:before="20" w:after="20"/>
            </w:pPr>
            <w:r>
              <w:rPr>
                <w:rFonts w:ascii="Aptos" w:hAnsi="Aptos"/>
                <w:b w:val="0"/>
                <w:i w:val="0"/>
                <w:sz w:val="22"/>
              </w:rPr>
              <w:t>Wypracowanie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17.</w:t>
            </w:r>
          </w:p>
        </w:tc>
        <w:tc>
          <w:tcPr>
            <w:tcW w:type="dxa" w:w="4536"/>
          </w:tcPr>
          <w:p>
            <w:pPr>
              <w:spacing w:before="20" w:after="20"/>
            </w:pPr>
            <w:r>
              <w:rPr>
                <w:rFonts w:ascii="Aptos" w:hAnsi="Aptos"/>
                <w:b w:val="0"/>
                <w:i w:val="0"/>
                <w:sz w:val="22"/>
              </w:rPr>
              <w:t>Kolokwium z kanji i gramatyki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18.</w:t>
            </w:r>
          </w:p>
        </w:tc>
        <w:tc>
          <w:tcPr>
            <w:tcW w:type="dxa" w:w="4536"/>
          </w:tcPr>
          <w:p>
            <w:pPr>
              <w:spacing w:before="20" w:after="20"/>
            </w:pPr>
            <w:r>
              <w:rPr>
                <w:rFonts w:ascii="Aptos" w:hAnsi="Aptos"/>
                <w:b w:val="0"/>
                <w:i w:val="0"/>
                <w:sz w:val="22"/>
              </w:rPr>
              <w:t>Budowa zdań do formy tsumori desu/yotei desu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19.</w:t>
            </w:r>
          </w:p>
        </w:tc>
        <w:tc>
          <w:tcPr>
            <w:tcW w:type="dxa" w:w="4536"/>
          </w:tcPr>
          <w:p>
            <w:pPr>
              <w:spacing w:before="20" w:after="20"/>
            </w:pPr>
            <w:r>
              <w:rPr>
                <w:rFonts w:ascii="Aptos" w:hAnsi="Aptos"/>
                <w:b w:val="0"/>
                <w:i w:val="0"/>
                <w:sz w:val="22"/>
              </w:rPr>
              <w:t>Klasyfikatory – omówienie wszystkich klasyfikatorów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20.</w:t>
            </w:r>
          </w:p>
        </w:tc>
        <w:tc>
          <w:tcPr>
            <w:tcW w:type="dxa" w:w="4536"/>
          </w:tcPr>
          <w:p>
            <w:pPr>
              <w:spacing w:before="20" w:after="20"/>
            </w:pPr>
            <w:r>
              <w:rPr>
                <w:rFonts w:ascii="Aptos" w:hAnsi="Aptos"/>
                <w:b w:val="0"/>
                <w:i w:val="0"/>
                <w:sz w:val="22"/>
              </w:rPr>
              <w:t>Zadanie ze słuchu – tematyka związana z klasyfikatorami i życia codziennego</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21.</w:t>
            </w:r>
          </w:p>
        </w:tc>
        <w:tc>
          <w:tcPr>
            <w:tcW w:type="dxa" w:w="4536"/>
          </w:tcPr>
          <w:p>
            <w:pPr>
              <w:spacing w:before="20" w:after="20"/>
            </w:pPr>
            <w:r>
              <w:rPr>
                <w:rFonts w:ascii="Aptos" w:hAnsi="Aptos"/>
                <w:b w:val="0"/>
                <w:i w:val="0"/>
                <w:sz w:val="22"/>
              </w:rPr>
              <w:t>Analiza tekstu – czytanka o robotach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22.</w:t>
            </w:r>
          </w:p>
        </w:tc>
        <w:tc>
          <w:tcPr>
            <w:tcW w:type="dxa" w:w="4536"/>
          </w:tcPr>
          <w:p>
            <w:pPr>
              <w:spacing w:before="20" w:after="20"/>
            </w:pPr>
            <w:r>
              <w:rPr>
                <w:rFonts w:ascii="Aptos" w:hAnsi="Aptos"/>
                <w:b w:val="0"/>
                <w:i w:val="0"/>
                <w:sz w:val="22"/>
              </w:rPr>
              <w:t>Próbne testy JLPTN4 ; kanji, gramatyka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23.</w:t>
            </w:r>
          </w:p>
        </w:tc>
        <w:tc>
          <w:tcPr>
            <w:tcW w:type="dxa" w:w="4536"/>
          </w:tcPr>
          <w:p>
            <w:pPr>
              <w:spacing w:before="20" w:after="20"/>
            </w:pPr>
            <w:r>
              <w:rPr>
                <w:rFonts w:ascii="Aptos" w:hAnsi="Aptos"/>
                <w:b w:val="0"/>
                <w:i w:val="0"/>
                <w:sz w:val="22"/>
              </w:rPr>
              <w:t>Próbne testy JLPTN4 ; czytanki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24.</w:t>
            </w:r>
          </w:p>
        </w:tc>
        <w:tc>
          <w:tcPr>
            <w:tcW w:type="dxa" w:w="4536"/>
          </w:tcPr>
          <w:p>
            <w:pPr>
              <w:spacing w:before="20" w:after="20"/>
            </w:pPr>
            <w:r>
              <w:rPr>
                <w:rFonts w:ascii="Aptos" w:hAnsi="Aptos"/>
                <w:b w:val="0"/>
                <w:i w:val="0"/>
                <w:sz w:val="22"/>
              </w:rPr>
              <w:t>Próbne testy JLPTN4 ; słuchanie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25.</w:t>
            </w:r>
          </w:p>
        </w:tc>
        <w:tc>
          <w:tcPr>
            <w:tcW w:type="dxa" w:w="4536"/>
          </w:tcPr>
          <w:p>
            <w:pPr>
              <w:spacing w:before="20" w:after="20"/>
            </w:pPr>
            <w:r>
              <w:rPr>
                <w:rFonts w:ascii="Aptos" w:hAnsi="Aptos"/>
                <w:b w:val="0"/>
                <w:i w:val="0"/>
                <w:sz w:val="22"/>
              </w:rPr>
              <w:t>Powtórzenie matu z całego semestru – budowanie zdań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26.</w:t>
            </w:r>
          </w:p>
        </w:tc>
        <w:tc>
          <w:tcPr>
            <w:tcW w:type="dxa" w:w="4536"/>
          </w:tcPr>
          <w:p>
            <w:pPr>
              <w:spacing w:before="20" w:after="20"/>
            </w:pPr>
            <w:r>
              <w:rPr>
                <w:rFonts w:ascii="Aptos" w:hAnsi="Aptos"/>
                <w:b w:val="0"/>
                <w:i w:val="0"/>
                <w:sz w:val="22"/>
              </w:rPr>
              <w:t>Różnica między teageru, temorau i tekureru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27.</w:t>
            </w:r>
          </w:p>
        </w:tc>
        <w:tc>
          <w:tcPr>
            <w:tcW w:type="dxa" w:w="4536"/>
          </w:tcPr>
          <w:p>
            <w:pPr>
              <w:spacing w:before="20" w:after="20"/>
            </w:pPr>
            <w:r>
              <w:rPr>
                <w:rFonts w:ascii="Aptos" w:hAnsi="Aptos"/>
                <w:b w:val="0"/>
                <w:i w:val="0"/>
                <w:sz w:val="22"/>
              </w:rPr>
              <w:t>Tryb warunkowy – ba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28.</w:t>
            </w:r>
          </w:p>
        </w:tc>
        <w:tc>
          <w:tcPr>
            <w:tcW w:type="dxa" w:w="4536"/>
          </w:tcPr>
          <w:p>
            <w:pPr>
              <w:spacing w:before="20" w:after="20"/>
            </w:pPr>
            <w:r>
              <w:rPr>
                <w:rFonts w:ascii="Aptos" w:hAnsi="Aptos"/>
                <w:b w:val="0"/>
                <w:i w:val="0"/>
                <w:sz w:val="22"/>
              </w:rPr>
              <w:t>Ćwiczenia z czasownikami przechodnimi/nieprzechodnimi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29.</w:t>
            </w:r>
          </w:p>
        </w:tc>
        <w:tc>
          <w:tcPr>
            <w:tcW w:type="dxa" w:w="4536"/>
          </w:tcPr>
          <w:p>
            <w:pPr>
              <w:spacing w:before="20" w:after="20"/>
            </w:pPr>
            <w:r>
              <w:rPr>
                <w:rFonts w:ascii="Aptos" w:hAnsi="Aptos"/>
                <w:b w:val="0"/>
                <w:i w:val="0"/>
                <w:sz w:val="22"/>
              </w:rPr>
              <w:t>Forma gramatyczna kamoshiremasen</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30.</w:t>
            </w:r>
          </w:p>
        </w:tc>
        <w:tc>
          <w:tcPr>
            <w:tcW w:type="dxa" w:w="4536"/>
          </w:tcPr>
          <w:p>
            <w:pPr>
              <w:spacing w:before="20" w:after="20"/>
            </w:pPr>
            <w:r>
              <w:rPr>
                <w:rFonts w:ascii="Aptos" w:hAnsi="Aptos"/>
                <w:b w:val="0"/>
                <w:i w:val="0"/>
                <w:sz w:val="22"/>
              </w:rPr>
              <w:t>Kolokwium zaliczeniowe</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L. Czernichowska-Kramarz Japoński w obrazkach. Słownik, rozmówki, gramatyka wyd. Edgar</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Materiały własne – przygotowane przez lektorkę Lindę Czernichowską-Kramarz na podstawie własnych pomysłów oraz różnych książek</w:t>
            </w:r>
          </w:p>
          <w:p>
            <w:pPr>
              <w:spacing w:before="20" w:after="20"/>
            </w:pPr>
            <w:r>
              <w:rPr>
                <w:rFonts w:ascii="Aptos" w:hAnsi="Aptos"/>
                <w:sz w:val="22"/>
              </w:rPr>
              <w:t>2. Minna no nihongo I – główny podręcznik  wyd. 3anetwork Japonia</w:t>
            </w:r>
          </w:p>
          <w:p>
            <w:pPr>
              <w:spacing w:before="20" w:after="20"/>
            </w:pPr>
            <w:r>
              <w:rPr>
                <w:rFonts w:ascii="Aptos" w:hAnsi="Aptos"/>
                <w:sz w:val="22"/>
              </w:rPr>
              <w:t>3. Minna no nihongo I choukai– słuchanie  wyd. 3anetwork Japonia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pisać abstrakt, streszczenie, pisać wykres, diagram, list motywacyjny i CV wykorzystując słownictwo i struktury gramatyczne w odpowiednim kontekście.</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konstruować wypowiedź ustną i pisemną poprawną pod względem logicznym i merytorycznym wdrażając słownictwo specjalistyczne i biznesowe</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permanentnego doskonalenia kompetencji językowych w celach zawodowych.</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ciągłego samokształcenia własnych kompetencji językowych oraz dostrzega potrzebę podejmowania inicjatyw w dziedzinach biznesowych.</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