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Procesy Innowacyjne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PRIN</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Albert Śledzianowski, albertsledzianowski@pjwstk.edu.pl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Praca nad opracowaniami koncepcyjnymi z zakresu innowacji; analiza przypadków procesów innowacyjnych; przygotowanie sprawozdań; ćwiczenia obliczeniowe.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raport z wykonanego zadania</w:t>
            </w:r>
          </w:p>
          <w:p>
            <w:pPr>
              <w:spacing w:before="20" w:after="20"/>
            </w:pPr>
            <w:r>
              <w:rPr>
                <w:rFonts w:ascii="Aptos" w:hAnsi="Aptos"/>
                <w:sz w:val="22"/>
              </w:rPr>
              <w:t>2.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POZ - Podstawy Organizacji i Zarzadzania</w:t>
            </w:r>
          </w:p>
        </w:tc>
        <w:tc>
          <w:tcPr>
            <w:tcW w:type="dxa" w:w="4986"/>
          </w:tcPr>
          <w:p>
            <w:pPr>
              <w:spacing w:before="20" w:after="20"/>
            </w:pPr>
            <w:r>
              <w:rPr>
                <w:rFonts w:ascii="Aptos" w:hAnsi="Aptos"/>
                <w:b w:val="0"/>
                <w:i w:val="0"/>
                <w:sz w:val="22"/>
              </w:rPr>
              <w:t>Znajomosc podstaw organizacji i zarzadzania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Przedmiot “Procesy innowacyjne” ma na celu: Zapoznanie studentów z podstawami zarządzania firmą innowacyjną oraz organizacyjnymi podstawami jej funkcjonowania Zapoznanie studentów z technikami analizy i pobudzania kreatywności oraz twórczego rozwiązywania problemów inżynierskich.</w:t>
            </w:r>
          </w:p>
          <w:p>
            <w:pPr>
              <w:spacing w:before="80" w:after="20"/>
            </w:pPr>
            <w:r>
              <w:rPr>
                <w:rFonts w:ascii="Aptos" w:hAnsi="Aptos"/>
                <w:b/>
                <w:sz w:val="22"/>
              </w:rPr>
              <w:t>Abstrakt po angielsku:</w:t>
            </w:r>
          </w:p>
          <w:p>
            <w:pPr>
              <w:spacing w:before="20" w:after="20"/>
            </w:pPr>
            <w:r>
              <w:rPr>
                <w:rFonts w:ascii="Aptos" w:hAnsi="Aptos"/>
                <w:i/>
                <w:sz w:val="22"/>
              </w:rPr>
              <w:t>The course 'Innovation Processes' aims to familiarize students with the basics of managing an innovative company and the organizational foundations of its operation, as well as with techniques for analyzing and stimulating creativity and for creatively solving engineering problems.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Wykład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Ćwiczenia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Kreatywność menedżerska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Profil osoby kreatywnej i przedsiębiorczej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Istota i motywy przedsiębiorczości gospodarczej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Tworzenie i analiza ścieżki doświadczeń dla wybranego produktu / usługi (praca z szablonem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customer journey map)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Metody graficzne i analityczne w diagnozowaniu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problemu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Odkrywanie możliwości dla produktu innowacyjnego – studium przypadku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Rozpoznawanie szans rynkowych i możliwości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sytuacyjnych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Analiza rozwoju firm innowacyjnych – macierz</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kluczowych czynników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Planowanie rozwoju - elementy analizy strategicznej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Wprowadzenie do Design Thinking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Struktury organizacyjne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Wprowadzenie do pracy zespołowej i projektowej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Trening umiejętności pracy w zespole.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Organizowanie procesów i zarządzanie zasobami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Środowiska do komputerowego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wspomagania pracy projektowej 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zespołowej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24.</w:t>
            </w:r>
          </w:p>
        </w:tc>
        <w:tc>
          <w:tcPr>
            <w:tcW w:type="dxa" w:w="4536"/>
          </w:tcPr>
          <w:p>
            <w:pPr>
              <w:spacing w:before="20" w:after="20"/>
            </w:pPr>
            <w:r>
              <w:rPr>
                <w:rFonts w:ascii="Aptos" w:hAnsi="Aptos"/>
                <w:b w:val="0"/>
                <w:i w:val="0"/>
                <w:sz w:val="22"/>
              </w:rPr>
              <w:t>Kontrolowanie, doskonalenie i zarządzanie jakością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25.</w:t>
            </w:r>
          </w:p>
        </w:tc>
        <w:tc>
          <w:tcPr>
            <w:tcW w:type="dxa" w:w="4536"/>
          </w:tcPr>
          <w:p>
            <w:pPr>
              <w:spacing w:before="20" w:after="20"/>
            </w:pPr>
            <w:r>
              <w:rPr>
                <w:rFonts w:ascii="Aptos" w:hAnsi="Aptos"/>
                <w:b w:val="0"/>
                <w:i w:val="0"/>
                <w:sz w:val="22"/>
              </w:rPr>
              <w:t>Identyfikacja potrzeb; wprowadzenie do analizy badań zastanych i jakościowych – wywiad,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26.</w:t>
            </w:r>
          </w:p>
        </w:tc>
        <w:tc>
          <w:tcPr>
            <w:tcW w:type="dxa" w:w="4536"/>
          </w:tcPr>
          <w:p>
            <w:pPr>
              <w:spacing w:before="20" w:after="20"/>
            </w:pPr>
            <w:r>
              <w:rPr>
                <w:rFonts w:ascii="Aptos" w:hAnsi="Aptos"/>
                <w:b w:val="0"/>
                <w:i w:val="0"/>
                <w:sz w:val="22"/>
              </w:rPr>
              <w:t>obserwacja uczestnicząca, netnografia; mapa empatii, Persony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27.</w:t>
            </w:r>
          </w:p>
        </w:tc>
        <w:tc>
          <w:tcPr>
            <w:tcW w:type="dxa" w:w="4536"/>
          </w:tcPr>
          <w:p>
            <w:pPr>
              <w:spacing w:before="20" w:after="20"/>
            </w:pPr>
            <w:r>
              <w:rPr>
                <w:rFonts w:ascii="Aptos" w:hAnsi="Aptos"/>
                <w:b w:val="0"/>
                <w:i w:val="0"/>
                <w:sz w:val="22"/>
              </w:rPr>
              <w:t>Mała firma – cykl rozwojowy i czynniki sukcesu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28.</w:t>
            </w:r>
          </w:p>
        </w:tc>
        <w:tc>
          <w:tcPr>
            <w:tcW w:type="dxa" w:w="4536"/>
          </w:tcPr>
          <w:p>
            <w:pPr>
              <w:spacing w:before="20" w:after="20"/>
            </w:pPr>
            <w:r>
              <w:rPr>
                <w:rFonts w:ascii="Aptos" w:hAnsi="Aptos"/>
                <w:b w:val="0"/>
                <w:i w:val="0"/>
                <w:sz w:val="22"/>
              </w:rPr>
              <w:t>Diagnoza problemu: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29.</w:t>
            </w:r>
          </w:p>
        </w:tc>
        <w:tc>
          <w:tcPr>
            <w:tcW w:type="dxa" w:w="4536"/>
          </w:tcPr>
          <w:p>
            <w:pPr>
              <w:spacing w:before="20" w:after="20"/>
            </w:pPr>
            <w:r>
              <w:rPr>
                <w:rFonts w:ascii="Aptos" w:hAnsi="Aptos"/>
                <w:b w:val="0"/>
                <w:i w:val="0"/>
                <w:sz w:val="22"/>
              </w:rPr>
              <w:t>Metoda 5 x dlaczego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30.</w:t>
            </w:r>
          </w:p>
        </w:tc>
        <w:tc>
          <w:tcPr>
            <w:tcW w:type="dxa" w:w="4536"/>
          </w:tcPr>
          <w:p>
            <w:pPr>
              <w:spacing w:before="20" w:after="20"/>
            </w:pPr>
            <w:r>
              <w:rPr>
                <w:rFonts w:ascii="Aptos" w:hAnsi="Aptos"/>
                <w:b w:val="0"/>
                <w:i w:val="0"/>
                <w:sz w:val="22"/>
              </w:rPr>
              <w:t>Metoda Pareto-Lorenza i Diagram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31.</w:t>
            </w:r>
          </w:p>
        </w:tc>
        <w:tc>
          <w:tcPr>
            <w:tcW w:type="dxa" w:w="4536"/>
          </w:tcPr>
          <w:p>
            <w:pPr>
              <w:spacing w:before="20" w:after="20"/>
            </w:pPr>
            <w:r>
              <w:rPr>
                <w:rFonts w:ascii="Aptos" w:hAnsi="Aptos"/>
                <w:b w:val="0"/>
                <w:i w:val="0"/>
                <w:sz w:val="22"/>
              </w:rPr>
              <w:t>Ishikawy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32.</w:t>
            </w:r>
          </w:p>
        </w:tc>
        <w:tc>
          <w:tcPr>
            <w:tcW w:type="dxa" w:w="4536"/>
          </w:tcPr>
          <w:p>
            <w:pPr>
              <w:spacing w:before="20" w:after="20"/>
            </w:pPr>
            <w:r>
              <w:rPr>
                <w:rFonts w:ascii="Aptos" w:hAnsi="Aptos"/>
                <w:b w:val="0"/>
                <w:i w:val="0"/>
                <w:sz w:val="22"/>
              </w:rPr>
              <w:t>Rysowanie odręczne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33.</w:t>
            </w:r>
          </w:p>
        </w:tc>
        <w:tc>
          <w:tcPr>
            <w:tcW w:type="dxa" w:w="4536"/>
          </w:tcPr>
          <w:p>
            <w:pPr>
              <w:spacing w:before="20" w:after="20"/>
            </w:pPr>
            <w:r>
              <w:rPr>
                <w:rFonts w:ascii="Aptos" w:hAnsi="Aptos"/>
                <w:b w:val="0"/>
                <w:i w:val="0"/>
                <w:sz w:val="22"/>
              </w:rPr>
              <w:t>Zarządzanie personelem i motywowanie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34.</w:t>
            </w:r>
          </w:p>
        </w:tc>
        <w:tc>
          <w:tcPr>
            <w:tcW w:type="dxa" w:w="4536"/>
          </w:tcPr>
          <w:p>
            <w:pPr>
              <w:spacing w:before="20" w:after="20"/>
            </w:pPr>
            <w:r>
              <w:rPr>
                <w:rFonts w:ascii="Aptos" w:hAnsi="Aptos"/>
                <w:b w:val="0"/>
                <w:i w:val="0"/>
                <w:sz w:val="22"/>
              </w:rPr>
              <w:t>Metoda Kano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35.</w:t>
            </w:r>
          </w:p>
        </w:tc>
        <w:tc>
          <w:tcPr>
            <w:tcW w:type="dxa" w:w="4536"/>
          </w:tcPr>
          <w:p>
            <w:pPr>
              <w:spacing w:before="20" w:after="20"/>
            </w:pPr>
            <w:r>
              <w:rPr>
                <w:rFonts w:ascii="Aptos" w:hAnsi="Aptos"/>
                <w:b w:val="0"/>
                <w:i w:val="0"/>
                <w:sz w:val="22"/>
              </w:rPr>
              <w:t>Wybrane techniki oceny wariantów i wspomagania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36.</w:t>
            </w:r>
          </w:p>
        </w:tc>
        <w:tc>
          <w:tcPr>
            <w:tcW w:type="dxa" w:w="4536"/>
          </w:tcPr>
          <w:p>
            <w:pPr>
              <w:spacing w:before="20" w:after="20"/>
            </w:pPr>
            <w:r>
              <w:rPr>
                <w:rFonts w:ascii="Aptos" w:hAnsi="Aptos"/>
                <w:b w:val="0"/>
                <w:i w:val="0"/>
                <w:sz w:val="22"/>
              </w:rPr>
              <w:t>decyzji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37.</w:t>
            </w:r>
          </w:p>
        </w:tc>
        <w:tc>
          <w:tcPr>
            <w:tcW w:type="dxa" w:w="4536"/>
          </w:tcPr>
          <w:p>
            <w:pPr>
              <w:spacing w:before="20" w:after="20"/>
            </w:pPr>
            <w:r>
              <w:rPr>
                <w:rFonts w:ascii="Aptos" w:hAnsi="Aptos"/>
                <w:b w:val="0"/>
                <w:i w:val="0"/>
                <w:sz w:val="22"/>
              </w:rPr>
              <w:t>Indywidualne generowanie pomysłów do problemu (mindmapping, analiza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38.</w:t>
            </w:r>
          </w:p>
        </w:tc>
        <w:tc>
          <w:tcPr>
            <w:tcW w:type="dxa" w:w="4536"/>
          </w:tcPr>
          <w:p>
            <w:pPr>
              <w:spacing w:before="20" w:after="20"/>
            </w:pPr>
            <w:r>
              <w:rPr>
                <w:rFonts w:ascii="Aptos" w:hAnsi="Aptos"/>
                <w:b w:val="0"/>
                <w:i w:val="0"/>
                <w:sz w:val="22"/>
              </w:rPr>
              <w:t>morfologiczna)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39.</w:t>
            </w:r>
          </w:p>
        </w:tc>
        <w:tc>
          <w:tcPr>
            <w:tcW w:type="dxa" w:w="4536"/>
          </w:tcPr>
          <w:p>
            <w:pPr>
              <w:spacing w:before="20" w:after="20"/>
            </w:pPr>
            <w:r>
              <w:rPr>
                <w:rFonts w:ascii="Aptos" w:hAnsi="Aptos"/>
                <w:b w:val="0"/>
                <w:i w:val="0"/>
                <w:sz w:val="22"/>
              </w:rPr>
              <w:t>Generowanie pomysłów: burza mózgów,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40.</w:t>
            </w:r>
          </w:p>
        </w:tc>
        <w:tc>
          <w:tcPr>
            <w:tcW w:type="dxa" w:w="4536"/>
          </w:tcPr>
          <w:p>
            <w:pPr>
              <w:spacing w:before="20" w:after="20"/>
            </w:pPr>
            <w:r>
              <w:rPr>
                <w:rFonts w:ascii="Aptos" w:hAnsi="Aptos"/>
                <w:b w:val="0"/>
                <w:i w:val="0"/>
                <w:sz w:val="22"/>
              </w:rPr>
              <w:t>MindMapping, deBono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41.</w:t>
            </w:r>
          </w:p>
        </w:tc>
        <w:tc>
          <w:tcPr>
            <w:tcW w:type="dxa" w:w="4536"/>
          </w:tcPr>
          <w:p>
            <w:pPr>
              <w:spacing w:before="20" w:after="20"/>
            </w:pPr>
            <w:r>
              <w:rPr>
                <w:rFonts w:ascii="Aptos" w:hAnsi="Aptos"/>
                <w:b w:val="0"/>
                <w:i w:val="0"/>
                <w:sz w:val="22"/>
              </w:rPr>
              <w:t>Zespołowe generowanie pomysłów: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42.</w:t>
            </w:r>
          </w:p>
        </w:tc>
        <w:tc>
          <w:tcPr>
            <w:tcW w:type="dxa" w:w="4536"/>
          </w:tcPr>
          <w:p>
            <w:pPr>
              <w:spacing w:before="20" w:after="20"/>
            </w:pPr>
            <w:r>
              <w:rPr>
                <w:rFonts w:ascii="Aptos" w:hAnsi="Aptos"/>
                <w:b w:val="0"/>
                <w:i w:val="0"/>
                <w:sz w:val="22"/>
              </w:rPr>
              <w:t>burza mózgów i metoda 6 kapeluszy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43.</w:t>
            </w:r>
          </w:p>
        </w:tc>
        <w:tc>
          <w:tcPr>
            <w:tcW w:type="dxa" w:w="4536"/>
          </w:tcPr>
          <w:p>
            <w:pPr>
              <w:spacing w:before="20" w:after="20"/>
            </w:pPr>
            <w:r>
              <w:rPr>
                <w:rFonts w:ascii="Aptos" w:hAnsi="Aptos"/>
                <w:b w:val="0"/>
                <w:i w:val="0"/>
                <w:sz w:val="22"/>
              </w:rPr>
              <w:t>Wybrane techniki oceny wariantów i wspomagania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44.</w:t>
            </w:r>
          </w:p>
        </w:tc>
        <w:tc>
          <w:tcPr>
            <w:tcW w:type="dxa" w:w="4536"/>
          </w:tcPr>
          <w:p>
            <w:pPr>
              <w:spacing w:before="20" w:after="20"/>
            </w:pPr>
            <w:r>
              <w:rPr>
                <w:rFonts w:ascii="Aptos" w:hAnsi="Aptos"/>
                <w:b w:val="0"/>
                <w:i w:val="0"/>
                <w:sz w:val="22"/>
              </w:rPr>
              <w:t>decyzji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45.</w:t>
            </w:r>
          </w:p>
        </w:tc>
        <w:tc>
          <w:tcPr>
            <w:tcW w:type="dxa" w:w="4536"/>
          </w:tcPr>
          <w:p>
            <w:pPr>
              <w:spacing w:before="20" w:after="20"/>
            </w:pPr>
            <w:r>
              <w:rPr>
                <w:rFonts w:ascii="Aptos" w:hAnsi="Aptos"/>
                <w:b w:val="0"/>
                <w:i w:val="0"/>
                <w:sz w:val="22"/>
              </w:rPr>
              <w:t>Metody oceny wariantów; testowanie wygenerowanych rozwiązań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46.</w:t>
            </w:r>
          </w:p>
        </w:tc>
        <w:tc>
          <w:tcPr>
            <w:tcW w:type="dxa" w:w="4536"/>
          </w:tcPr>
          <w:p>
            <w:pPr>
              <w:spacing w:before="20" w:after="20"/>
            </w:pPr>
            <w:r>
              <w:rPr>
                <w:rFonts w:ascii="Aptos" w:hAnsi="Aptos"/>
                <w:b w:val="0"/>
                <w:i w:val="0"/>
                <w:sz w:val="22"/>
              </w:rPr>
              <w:t>Organizacja kreatywnej pracy zespołowej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47.</w:t>
            </w:r>
          </w:p>
        </w:tc>
        <w:tc>
          <w:tcPr>
            <w:tcW w:type="dxa" w:w="4536"/>
          </w:tcPr>
          <w:p>
            <w:pPr>
              <w:spacing w:before="20" w:after="20"/>
            </w:pPr>
            <w:r>
              <w:rPr>
                <w:rFonts w:ascii="Aptos" w:hAnsi="Aptos"/>
                <w:b w:val="0"/>
                <w:i w:val="0"/>
                <w:sz w:val="22"/>
              </w:rPr>
              <w:t>Ocena potencjału motywacyjnego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48.</w:t>
            </w:r>
          </w:p>
        </w:tc>
        <w:tc>
          <w:tcPr>
            <w:tcW w:type="dxa" w:w="4536"/>
          </w:tcPr>
          <w:p>
            <w:pPr>
              <w:spacing w:before="20" w:after="20"/>
            </w:pPr>
            <w:r>
              <w:rPr>
                <w:rFonts w:ascii="Aptos" w:hAnsi="Aptos"/>
                <w:b w:val="0"/>
                <w:i w:val="0"/>
                <w:sz w:val="22"/>
              </w:rPr>
              <w:t>personelu; analiza i dopracowywanie własnego CV, SWOT osobisty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49.</w:t>
            </w:r>
          </w:p>
        </w:tc>
        <w:tc>
          <w:tcPr>
            <w:tcW w:type="dxa" w:w="4536"/>
          </w:tcPr>
          <w:p>
            <w:pPr>
              <w:spacing w:before="20" w:after="20"/>
            </w:pPr>
            <w:r>
              <w:rPr>
                <w:rFonts w:ascii="Aptos" w:hAnsi="Aptos"/>
                <w:b w:val="0"/>
                <w:i w:val="0"/>
                <w:sz w:val="22"/>
              </w:rPr>
              <w:t>Zarządzanie wiedzą i innowacjami w organizacji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50.</w:t>
            </w:r>
          </w:p>
        </w:tc>
        <w:tc>
          <w:tcPr>
            <w:tcW w:type="dxa" w:w="4536"/>
          </w:tcPr>
          <w:p>
            <w:pPr>
              <w:spacing w:before="20" w:after="20"/>
            </w:pPr>
            <w:r>
              <w:rPr>
                <w:rFonts w:ascii="Aptos" w:hAnsi="Aptos"/>
                <w:b w:val="0"/>
                <w:i w:val="0"/>
                <w:sz w:val="22"/>
              </w:rPr>
              <w:t>Zasady efektywnej komunikacji;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51.</w:t>
            </w:r>
          </w:p>
        </w:tc>
        <w:tc>
          <w:tcPr>
            <w:tcW w:type="dxa" w:w="4536"/>
          </w:tcPr>
          <w:p>
            <w:pPr>
              <w:spacing w:before="20" w:after="20"/>
            </w:pPr>
            <w:r>
              <w:rPr>
                <w:rFonts w:ascii="Aptos" w:hAnsi="Aptos"/>
                <w:b w:val="0"/>
                <w:i w:val="0"/>
                <w:sz w:val="22"/>
              </w:rPr>
              <w:t>Prezentacja rozwiązań projektowych</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Kosieradzka, A., Szopiński, T., Stanisławiak, E., Głażewska, I., Kąkol, U., Smagowicz, J. (2021). Metody i techniki pobudzania kreatywności w organizacji i zarządzaniu. Warszawa: PWN. ISBN 978-83-01-21845-0.</w:t>
            </w:r>
          </w:p>
          <w:p>
            <w:pPr>
              <w:spacing w:before="20" w:after="20"/>
            </w:pPr>
            <w:r>
              <w:rPr>
                <w:rFonts w:ascii="Aptos" w:hAnsi="Aptos"/>
                <w:sz w:val="22"/>
              </w:rPr>
              <w:t>2. Kosieradzka, A. (2019). Zarządzanie produktywnością w przedsiębiorstwie. Kraków: edu-Libri. ISBN 978-83-63804-04-6.</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Szmidt, K. J. (2021). Teoria i praktyka twórczości: Od badań do edukacji kreatywnej. Łódź: Wydawnictwo Uniwersytetu Łódzkiego. ISBN: 978-83-8142-929-0</w:t>
            </w:r>
          </w:p>
          <w:p>
            <w:pPr>
              <w:spacing w:before="20" w:after="20"/>
            </w:pPr>
            <w:r>
              <w:rPr>
                <w:rFonts w:ascii="Aptos" w:hAnsi="Aptos"/>
                <w:sz w:val="22"/>
              </w:rPr>
              <w:t>2. Penc-Pietrzak, I. (2019). Kreatywność w zarządzaniu. Nowe wyzwania dla liderów organizacji. Warszawa: Difin. ISBN: 978-83-8085-882-2</w:t>
            </w:r>
          </w:p>
          <w:p>
            <w:pPr>
              <w:spacing w:before="20" w:after="20"/>
            </w:pPr>
            <w:r>
              <w:rPr>
                <w:rFonts w:ascii="Aptos" w:hAnsi="Aptos"/>
                <w:sz w:val="22"/>
              </w:rPr>
              <w:t>3. Trzebiński, J., &amp; Siemieńska, R. (2020). Twórcze rozwiązywanie problemów: Podstawy teoretyczne i zastosowania praktyczne. Warszawa: PWN. ISBN: 978-83-01-21489-7</w:t>
            </w:r>
          </w:p>
          <w:p>
            <w:pPr>
              <w:spacing w:before="20" w:after="20"/>
            </w:pPr>
            <w:r>
              <w:rPr>
                <w:rFonts w:ascii="Aptos" w:hAnsi="Aptos"/>
                <w:sz w:val="22"/>
              </w:rPr>
              <w:t>4. Nęcka, E., Orzechowski, J., &amp; Słabosz, A. (2019). Kreatywność: Procesy poznawcze, osobowość, środowisko. Warszawa: PWN. ISBN: 978-83-01-20526-0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zna i rozumie podstawowe zagadnienia planowania przedsięwzięcia informatycznego: wstępną ocenę ekonomiczną, analizę wykonalności, aspekty społeczne i środowiskowe projektu IT. [K_W17]</w:t>
            </w:r>
          </w:p>
        </w:tc>
        <w:tc>
          <w:tcPr>
            <w:tcW w:type="dxa" w:w="3324"/>
          </w:tcPr>
          <w:p>
            <w:pPr>
              <w:spacing w:before="20" w:after="20"/>
            </w:pPr>
            <w:r>
              <w:rPr>
                <w:rFonts w:ascii="Aptos" w:hAnsi="Aptos"/>
                <w:b w:val="0"/>
                <w:i w:val="0"/>
                <w:sz w:val="22"/>
              </w:rPr>
              <w:t>raport z wykonanego zadania; ocena pracy podczas ćwiczenia</w:t>
            </w:r>
          </w:p>
        </w:tc>
      </w:tr>
      <w:tr>
        <w:tc>
          <w:tcPr>
            <w:tcW w:type="dxa" w:w="3324"/>
          </w:tcPr>
          <w:p>
            <w:pPr>
              <w:spacing w:before="20" w:after="20"/>
            </w:pPr>
            <w:r>
              <w:rPr>
                <w:rFonts w:ascii="Aptos" w:hAnsi="Aptos"/>
                <w:b w:val="0"/>
                <w:i w:val="0"/>
                <w:sz w:val="22"/>
              </w:rPr>
              <w:t>K_W19</w:t>
            </w:r>
          </w:p>
        </w:tc>
        <w:tc>
          <w:tcPr>
            <w:tcW w:type="dxa" w:w="3324"/>
          </w:tcPr>
          <w:p>
            <w:pPr>
              <w:spacing w:before="20" w:after="20"/>
            </w:pPr>
            <w:r>
              <w:rPr>
                <w:rFonts w:ascii="Aptos" w:hAnsi="Aptos"/>
                <w:b w:val="0"/>
                <w:i w:val="0"/>
                <w:sz w:val="22"/>
              </w:rPr>
              <w:t>Student zna i rozumie podstawowe problemy etyczne, społeczne i zawodowe informatyki: odpowiedzialność zawodowa, prawo autorskie, licencjonowanie oprogramowania i ochrona własności intelektualnej. [K_W19]</w:t>
            </w:r>
          </w:p>
        </w:tc>
        <w:tc>
          <w:tcPr>
            <w:tcW w:type="dxa" w:w="3324"/>
          </w:tcPr>
          <w:p>
            <w:pPr>
              <w:spacing w:before="20" w:after="20"/>
            </w:pPr>
            <w:r>
              <w:rPr>
                <w:rFonts w:ascii="Aptos" w:hAnsi="Aptos"/>
                <w:b w:val="0"/>
                <w:i w:val="0"/>
                <w:sz w:val="22"/>
              </w:rPr>
              <w:t>raport z wykonanego zadania; ocena pracy podczas ćwiczenia</w:t>
            </w:r>
          </w:p>
        </w:tc>
      </w:tr>
      <w:tr>
        <w:tc>
          <w:tcPr>
            <w:tcW w:type="dxa" w:w="3324"/>
          </w:tcPr>
          <w:p>
            <w:pPr>
              <w:spacing w:before="20" w:after="20"/>
            </w:pPr>
            <w:r>
              <w:rPr>
                <w:rFonts w:ascii="Aptos" w:hAnsi="Aptos"/>
                <w:b w:val="0"/>
                <w:i w:val="0"/>
                <w:sz w:val="22"/>
              </w:rPr>
              <w:t>K_W20</w:t>
            </w:r>
          </w:p>
        </w:tc>
        <w:tc>
          <w:tcPr>
            <w:tcW w:type="dxa" w:w="3324"/>
          </w:tcPr>
          <w:p>
            <w:pPr>
              <w:spacing w:before="20" w:after="20"/>
            </w:pPr>
            <w:r>
              <w:rPr>
                <w:rFonts w:ascii="Aptos" w:hAnsi="Aptos"/>
                <w:b w:val="0"/>
                <w:i w:val="0"/>
                <w:sz w:val="22"/>
              </w:rPr>
              <w:t>Student zna i rozumie ogólne zasady tworzenia przedsiębiorczości w IT: modele biznesowe, formy prawne działalności, zasady komercjalizacji rozwiązań informatycznych i pozyskiwania finansowania. [K_W20]</w:t>
            </w:r>
          </w:p>
        </w:tc>
        <w:tc>
          <w:tcPr>
            <w:tcW w:type="dxa" w:w="3324"/>
          </w:tcPr>
          <w:p>
            <w:pPr>
              <w:spacing w:before="20" w:after="20"/>
            </w:pPr>
            <w:r>
              <w:rPr>
                <w:rFonts w:ascii="Aptos" w:hAnsi="Aptos"/>
                <w:b w:val="0"/>
                <w:i w:val="0"/>
                <w:sz w:val="22"/>
              </w:rPr>
              <w:t>raport z wykonanego zadania;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K_U26</w:t>
            </w:r>
          </w:p>
        </w:tc>
        <w:tc>
          <w:tcPr>
            <w:tcW w:type="dxa" w:w="3324"/>
          </w:tcPr>
          <w:p>
            <w:pPr>
              <w:spacing w:before="20" w:after="20"/>
            </w:pPr>
            <w:r>
              <w:rPr>
                <w:rFonts w:ascii="Aptos" w:hAnsi="Aptos"/>
                <w:b w:val="0"/>
                <w:i w:val="0"/>
                <w:sz w:val="22"/>
              </w:rPr>
              <w:t>Student potrafi pracować w zespole projektowym, szacować czas i koszty realizacji zadań oraz budować harmonogram prac zapewniający terminową realizację projektu informatycznego. [K_U05]</w:t>
            </w:r>
          </w:p>
        </w:tc>
        <w:tc>
          <w:tcPr>
            <w:tcW w:type="dxa" w:w="3324"/>
          </w:tcPr>
          <w:p>
            <w:pPr>
              <w:spacing w:before="20" w:after="20"/>
            </w:pPr>
            <w:r>
              <w:rPr>
                <w:rFonts w:ascii="Aptos" w:hAnsi="Aptos"/>
                <w:b w:val="0"/>
                <w:i w:val="0"/>
                <w:sz w:val="22"/>
              </w:rPr>
              <w:t>raport z wykonanego zadania;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zaplanować i wytworzyć dokumentację przedsięwzięcia informatycznego (studium wykonalności, analiza ryzyka, wstępna wycena) z uwzględnieniem aspektów etycznych i prawnych. [K_U26]</w:t>
            </w:r>
          </w:p>
        </w:tc>
        <w:tc>
          <w:tcPr>
            <w:tcW w:type="dxa" w:w="3324"/>
          </w:tcPr>
          <w:p>
            <w:pPr>
              <w:spacing w:before="20" w:after="20"/>
            </w:pPr>
            <w:r>
              <w:rPr>
                <w:rFonts w:ascii="Aptos" w:hAnsi="Aptos"/>
                <w:b w:val="0"/>
                <w:i w:val="0"/>
                <w:sz w:val="22"/>
              </w:rPr>
              <w:t>raport z wykonanego zadania;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uwzględnić aspekty etyczne, prawne i społeczne w planowanym przedsięwzięciu informatycznym i ocenić potencjalne zagrożenia. [K_U25]</w:t>
            </w:r>
          </w:p>
        </w:tc>
        <w:tc>
          <w:tcPr>
            <w:tcW w:type="dxa" w:w="3324"/>
          </w:tcPr>
          <w:p>
            <w:pPr>
              <w:spacing w:before="20" w:after="20"/>
            </w:pPr>
            <w:r>
              <w:rPr>
                <w:rFonts w:ascii="Aptos" w:hAnsi="Aptos"/>
                <w:b w:val="0"/>
                <w:i w:val="0"/>
                <w:sz w:val="22"/>
              </w:rPr>
              <w:t>raport z wykonanego zadania;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K_K01</w:t>
            </w:r>
          </w:p>
        </w:tc>
        <w:tc>
          <w:tcPr>
            <w:tcW w:type="dxa" w:w="3324"/>
          </w:tcPr>
          <w:p>
            <w:pPr>
              <w:spacing w:before="20" w:after="20"/>
            </w:pPr>
            <w:r>
              <w:rPr>
                <w:rFonts w:ascii="Aptos" w:hAnsi="Aptos"/>
                <w:b w:val="0"/>
                <w:i w:val="0"/>
                <w:sz w:val="22"/>
              </w:rPr>
              <w:t>Student jest gotów do zastosowań informatyki na rzecz rozwoju nauki i społeczeństwa informacyjnego, działając zgodnie z zasadami etyki zawodowej. [K_K01]</w:t>
            </w:r>
          </w:p>
        </w:tc>
        <w:tc>
          <w:tcPr>
            <w:tcW w:type="dxa" w:w="3324"/>
          </w:tcPr>
          <w:p>
            <w:pPr>
              <w:spacing w:before="20" w:after="20"/>
            </w:pPr>
            <w:r>
              <w:rPr>
                <w:rFonts w:ascii="Aptos" w:hAnsi="Aptos"/>
                <w:b w:val="0"/>
                <w:i w:val="0"/>
                <w:sz w:val="22"/>
              </w:rPr>
              <w:t>raport z wykonanego zadania; ocena pracy podczas ćwiczenia</w:t>
            </w:r>
          </w:p>
        </w:tc>
      </w:tr>
      <w:tr>
        <w:tc>
          <w:tcPr>
            <w:tcW w:type="dxa" w:w="3324"/>
          </w:tcPr>
          <w:p>
            <w:pPr>
              <w:spacing w:before="20" w:after="20"/>
            </w:pPr>
            <w:r>
              <w:rPr>
                <w:rFonts w:ascii="Aptos" w:hAnsi="Aptos"/>
                <w:b w:val="0"/>
                <w:i w:val="0"/>
                <w:sz w:val="22"/>
              </w:rPr>
              <w:t>K_K02</w:t>
            </w:r>
          </w:p>
        </w:tc>
        <w:tc>
          <w:tcPr>
            <w:tcW w:type="dxa" w:w="3324"/>
          </w:tcPr>
          <w:p>
            <w:pPr>
              <w:spacing w:before="20" w:after="20"/>
            </w:pPr>
            <w:r>
              <w:rPr>
                <w:rFonts w:ascii="Aptos" w:hAnsi="Aptos"/>
                <w:b w:val="0"/>
                <w:i w:val="0"/>
                <w:sz w:val="22"/>
              </w:rPr>
              <w:t>Student jest gotów do efektywnej współpracy w zespole, przyjmowania różnych ról i odpowiedzialnego wywiązywania się z powierzonych zadań projektowych. [K_K04]</w:t>
            </w:r>
          </w:p>
        </w:tc>
        <w:tc>
          <w:tcPr>
            <w:tcW w:type="dxa" w:w="3324"/>
          </w:tcPr>
          <w:p>
            <w:pPr>
              <w:spacing w:before="20" w:after="20"/>
            </w:pPr>
            <w:r>
              <w:rPr>
                <w:rFonts w:ascii="Aptos" w:hAnsi="Aptos"/>
                <w:b w:val="0"/>
                <w:i w:val="0"/>
                <w:sz w:val="22"/>
              </w:rPr>
              <w:t>raport z wykonanego zadania; ocena pracy podczas ćwiczenia</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przekazywania społeczeństwu informacji na temat konsekwencji i odpowiedzialności związanej z działalnością inżynierską w IT. [K_K02]</w:t>
            </w:r>
          </w:p>
        </w:tc>
        <w:tc>
          <w:tcPr>
            <w:tcW w:type="dxa" w:w="3324"/>
          </w:tcPr>
          <w:p>
            <w:pPr>
              <w:spacing w:before="20" w:after="20"/>
            </w:pPr>
            <w:r>
              <w:rPr>
                <w:rFonts w:ascii="Aptos" w:hAnsi="Aptos"/>
                <w:b w:val="0"/>
                <w:i w:val="0"/>
                <w:sz w:val="22"/>
              </w:rPr>
              <w:t>raport z wykonanego zadania;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