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Liczby rzeczywiste. Konstrukcja. Własności.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Szeregi liczbowe. Definicja. Kryteria zbieżności. Szeregi naprzemienne.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Ciągi liczbowe. Monotoniczność, ograniczoność, zbieżność. Metody obliczania granic ciągów liczbowych. Zastosowania.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(w szczególności wykładnicze i logarytmiczne).  Granice funkcji w punkcie. Monotoniczność, ograniczoność, ciągłość.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Całka Riemanna. Definicja za pomocą granicy ciągu sum całkowych. Metody obliczania całki Riemanna. Zastosowanie całek oznaczonych.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Rozwijanie funkcji w szereg potęgowy. Zastosowanie rozwinięcia w szereg potęgowy w rachunku różniczkowym.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Równania różniczkowe zwyczajne. Podstawowe metody i zastosowanie.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 xml:space="preserve">Student zna i rozumie pojęcie ciągu liczbowego, granicy ciągu, ciągu ograniczonego, monotonicznego.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 xml:space="preserve"> Zna i rozumie definicję oraz sposoby obliczania całek nieoznaczonych i oznaczonych. Zna i rozumie definicje szeregów liczbowych oraz kryteria zbieżności szeregów liczbowych. Student zna metody numerycznego obliczania pochodnych oraz całek oznaczonych.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 xml:space="preserve"> Student zna i rozumie pojęcie szeregu potęgowego.  Student zna i rozumie zastosowanie równań różniczkowych zwyczajnych oraz zna podstawowe metody ich rozwiązywania.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