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Analiza Incydentów Cyberbezpieczeństwa</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AIC</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6</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mgr inż. Paweł Lelental</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9.  Formy zajęć, sposób ich realizacji i przypisana im liczba godzin:</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2493"/>
            <w:shd w:val="clear" w:color="auto" w:fill="D9D9D9"/>
          </w:tcPr>
          <w:p>
            <w:pPr>
              <w:spacing w:before="20" w:after="20"/>
            </w:pPr>
            <w:r>
              <w:rPr>
                <w:rFonts w:ascii="Aptos" w:hAnsi="Aptos"/>
                <w:b/>
                <w:i w:val="0"/>
                <w:sz w:val="16"/>
              </w:rPr>
              <w:t>wykład</w:t>
            </w:r>
          </w:p>
        </w:tc>
        <w:tc>
          <w:tcPr>
            <w:tcW w:type="dxa" w:w="2493"/>
            <w:shd w:val="clear" w:color="auto" w:fill="D9D9D9"/>
          </w:tcPr>
          <w:p>
            <w:pPr>
              <w:spacing w:before="20" w:after="20"/>
            </w:pPr>
            <w:r>
              <w:rPr>
                <w:rFonts w:ascii="Aptos" w:hAnsi="Aptos"/>
                <w:b/>
                <w:i w:val="0"/>
                <w:sz w:val="16"/>
              </w:rPr>
              <w:t>ćwiczenia/laboratorium/pracownia</w:t>
            </w:r>
          </w:p>
        </w:tc>
        <w:tc>
          <w:tcPr>
            <w:tcW w:type="dxa" w:w="2493"/>
            <w:shd w:val="clear" w:color="auto" w:fill="D9D9D9"/>
          </w:tcPr>
          <w:p>
            <w:pPr>
              <w:spacing w:before="20" w:after="20"/>
            </w:pPr>
            <w:r>
              <w:rPr>
                <w:rFonts w:ascii="Aptos" w:hAnsi="Aptos"/>
                <w:b/>
                <w:i w:val="0"/>
                <w:sz w:val="16"/>
              </w:rPr>
              <w:t>wykład internetowo</w:t>
            </w:r>
          </w:p>
        </w:tc>
        <w:tc>
          <w:tcPr>
            <w:tcW w:type="dxa" w:w="2493"/>
            <w:shd w:val="clear" w:color="auto" w:fill="D9D9D9"/>
          </w:tcPr>
          <w:p>
            <w:pPr>
              <w:spacing w:before="20" w:after="20"/>
            </w:pPr>
            <w:r>
              <w:rPr>
                <w:rFonts w:ascii="Aptos" w:hAnsi="Aptos"/>
                <w:b/>
                <w:i w:val="0"/>
                <w:sz w:val="16"/>
              </w:rPr>
              <w:t>ćw./lab./prac. internetowo</w:t>
            </w:r>
          </w:p>
        </w:tc>
      </w:tr>
      <w:tr>
        <w:tc>
          <w:tcPr>
            <w:tcW w:type="dxa" w:w="2493"/>
          </w:tcPr>
          <w:p>
            <w:pPr>
              <w:spacing w:before="20" w:after="20"/>
            </w:pPr>
            <w:r>
              <w:rPr>
                <w:rFonts w:ascii="Aptos" w:hAnsi="Aptos"/>
                <w:b w:val="0"/>
                <w:i w:val="0"/>
                <w:sz w:val="22"/>
              </w:rPr>
              <w:t>16</w:t>
            </w:r>
          </w:p>
        </w:tc>
        <w:tc>
          <w:tcPr>
            <w:tcW w:type="dxa" w:w="2493"/>
          </w:tcPr>
          <w:p>
            <w:pPr>
              <w:spacing w:before="20" w:after="20"/>
            </w:pPr>
            <w:r>
              <w:rPr>
                <w:rFonts w:ascii="Aptos" w:hAnsi="Aptos"/>
                <w:b w:val="0"/>
                <w:i w:val="0"/>
                <w:sz w:val="22"/>
              </w:rPr>
              <w:t>16</w:t>
            </w:r>
          </w:p>
        </w:tc>
        <w:tc>
          <w:tcPr>
            <w:tcW w:type="dxa" w:w="2493"/>
          </w:tcPr>
          <w:p>
            <w:pPr>
              <w:spacing w:before="20" w:after="20"/>
            </w:pPr>
            <w:r>
              <w:rPr>
                <w:rFonts w:ascii="Aptos" w:hAnsi="Aptos"/>
                <w:b w:val="0"/>
                <w:i w:val="0"/>
                <w:sz w:val="22"/>
              </w:rPr>
              <w:t>—</w:t>
            </w:r>
          </w:p>
        </w:tc>
        <w:tc>
          <w:tcPr>
            <w:tcW w:type="dxa" w:w="2493"/>
          </w:tcPr>
          <w:p>
            <w:pPr>
              <w:spacing w:before="20" w:after="20"/>
            </w:pPr>
            <w:r>
              <w:rPr>
                <w:rFonts w:ascii="Aptos" w:hAnsi="Aptos"/>
                <w:b w:val="0"/>
                <w:i w:val="0"/>
                <w:sz w:val="22"/>
              </w:rPr>
              <w:t>—</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3324"/>
            <w:shd w:val="clear" w:color="auto" w:fill="D9D9D9"/>
          </w:tcPr>
          <w:p>
            <w:pPr>
              <w:spacing w:before="20" w:after="20"/>
            </w:pPr>
            <w:r>
              <w:rPr>
                <w:rFonts w:ascii="Aptos" w:hAnsi="Aptos"/>
                <w:b/>
                <w:i w:val="0"/>
                <w:sz w:val="16"/>
              </w:rPr>
              <w:t>Rodzaj nakładu pracy:</w:t>
            </w:r>
          </w:p>
        </w:tc>
        <w:tc>
          <w:tcPr>
            <w:tcW w:type="dxa" w:w="3324"/>
            <w:shd w:val="clear" w:color="auto" w:fill="D9D9D9"/>
          </w:tcPr>
          <w:p>
            <w:pPr>
              <w:spacing w:before="20" w:after="20"/>
            </w:pPr>
            <w:r>
              <w:rPr>
                <w:rFonts w:ascii="Aptos" w:hAnsi="Aptos"/>
                <w:b/>
                <w:i w:val="0"/>
                <w:sz w:val="16"/>
              </w:rPr>
              <w:t>Liczba godzin</w:t>
            </w:r>
          </w:p>
        </w:tc>
        <w:tc>
          <w:tcPr>
            <w:tcW w:type="dxa" w:w="3324"/>
            <w:shd w:val="clear" w:color="auto" w:fill="D9D9D9"/>
          </w:tcPr>
          <w:p>
            <w:pPr>
              <w:spacing w:before="20" w:after="20"/>
            </w:pPr>
            <w:r>
              <w:rPr>
                <w:rFonts w:ascii="Aptos" w:hAnsi="Aptos"/>
                <w:b/>
                <w:i w:val="0"/>
                <w:sz w:val="16"/>
              </w:rPr>
              <w:t>ECTS</w:t>
            </w:r>
          </w:p>
        </w:tc>
      </w:tr>
      <w:tr>
        <w:tc>
          <w:tcPr>
            <w:tcW w:type="dxa" w:w="3324"/>
          </w:tcPr>
          <w:p>
            <w:pPr>
              <w:spacing w:before="20" w:after="20"/>
            </w:pPr>
            <w:r>
              <w:rPr>
                <w:rFonts w:ascii="Aptos" w:hAnsi="Aptos"/>
                <w:b w:val="0"/>
                <w:i w:val="0"/>
                <w:sz w:val="22"/>
              </w:rPr>
              <w:t>Zajęcia z bezpośrednim udziałem nauczyciela</w:t>
            </w:r>
          </w:p>
        </w:tc>
        <w:tc>
          <w:tcPr>
            <w:tcW w:type="dxa" w:w="3324"/>
          </w:tcPr>
          <w:p>
            <w:pPr>
              <w:spacing w:before="20" w:after="20"/>
            </w:pPr>
            <w:r>
              <w:rPr>
                <w:rFonts w:ascii="Aptos" w:hAnsi="Aptos"/>
                <w:b w:val="0"/>
                <w:i w:val="0"/>
                <w:sz w:val="22"/>
              </w:rPr>
              <w:t>32</w:t>
            </w:r>
          </w:p>
        </w:tc>
        <w:tc>
          <w:tcPr>
            <w:tcW w:type="dxa" w:w="3324"/>
          </w:tcPr>
          <w:p>
            <w:pPr>
              <w:spacing w:before="20" w:after="20"/>
            </w:pPr>
            <w:r>
              <w:rPr>
                <w:rFonts w:ascii="Aptos" w:hAnsi="Aptos"/>
                <w:b w:val="0"/>
                <w:i w:val="0"/>
                <w:sz w:val="22"/>
              </w:rPr>
              <w:t>1.3</w:t>
            </w:r>
          </w:p>
        </w:tc>
      </w:tr>
      <w:tr>
        <w:tc>
          <w:tcPr>
            <w:tcW w:type="dxa" w:w="3324"/>
          </w:tcPr>
          <w:p>
            <w:pPr>
              <w:spacing w:before="20" w:after="20"/>
            </w:pPr>
            <w:r>
              <w:rPr>
                <w:rFonts w:ascii="Aptos" w:hAnsi="Aptos"/>
                <w:b w:val="0"/>
                <w:i w:val="0"/>
                <w:sz w:val="22"/>
              </w:rPr>
              <w:t>Samodzielna praca studenta</w:t>
            </w:r>
          </w:p>
        </w:tc>
        <w:tc>
          <w:tcPr>
            <w:tcW w:type="dxa" w:w="3324"/>
          </w:tcPr>
          <w:p>
            <w:pPr>
              <w:spacing w:before="20" w:after="20"/>
            </w:pPr>
            <w:r>
              <w:rPr>
                <w:rFonts w:ascii="Aptos" w:hAnsi="Aptos"/>
                <w:b w:val="0"/>
                <w:i w:val="0"/>
                <w:sz w:val="22"/>
              </w:rPr>
              <w:t>93</w:t>
            </w:r>
          </w:p>
        </w:tc>
        <w:tc>
          <w:tcPr>
            <w:tcW w:type="dxa" w:w="3324"/>
          </w:tcPr>
          <w:p>
            <w:pPr>
              <w:spacing w:before="20" w:after="20"/>
            </w:pPr>
            <w:r>
              <w:rPr>
                <w:rFonts w:ascii="Aptos" w:hAnsi="Aptos"/>
                <w:b w:val="0"/>
                <w:i w:val="0"/>
                <w:sz w:val="22"/>
              </w:rPr>
              <w:t>3.7</w:t>
            </w:r>
          </w:p>
        </w:tc>
      </w:tr>
      <w:tr>
        <w:tc>
          <w:tcPr>
            <w:tcW w:type="dxa" w:w="3324"/>
          </w:tcPr>
          <w:p>
            <w:pPr>
              <w:spacing w:before="20" w:after="20"/>
            </w:pPr>
            <w:r>
              <w:rPr>
                <w:rFonts w:ascii="Aptos" w:hAnsi="Aptos"/>
                <w:b w:val="0"/>
                <w:i w:val="0"/>
                <w:sz w:val="22"/>
              </w:rPr>
              <w:t>Suma</w:t>
            </w:r>
          </w:p>
        </w:tc>
        <w:tc>
          <w:tcPr>
            <w:tcW w:type="dxa" w:w="3324"/>
          </w:tcPr>
          <w:p>
            <w:pPr>
              <w:spacing w:before="20" w:after="20"/>
            </w:pPr>
            <w:r>
              <w:rPr>
                <w:rFonts w:ascii="Aptos" w:hAnsi="Aptos"/>
                <w:b w:val="0"/>
                <w:i w:val="0"/>
                <w:sz w:val="22"/>
              </w:rPr>
              <w:t>125</w:t>
            </w:r>
          </w:p>
        </w:tc>
        <w:tc>
          <w:tcPr>
            <w:tcW w:type="dxa" w:w="3324"/>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burza mózgów</w:t>
            </w:r>
          </w:p>
          <w:p>
            <w:pPr>
              <w:spacing w:before="20" w:after="20"/>
            </w:pPr>
            <w:r>
              <w:rPr>
                <w:rFonts w:ascii="Aptos" w:hAnsi="Aptos"/>
                <w:sz w:val="22"/>
              </w:rPr>
              <w:t>2. warsztaty</w:t>
            </w:r>
          </w:p>
          <w:p>
            <w:pPr>
              <w:spacing w:before="20" w:after="20"/>
            </w:pPr>
            <w:r>
              <w:rPr>
                <w:rFonts w:ascii="Aptos" w:hAnsi="Aptos"/>
                <w:sz w:val="22"/>
              </w:rPr>
              <w:t>3. Kryteria oceny</w:t>
            </w:r>
          </w:p>
          <w:p>
            <w:pPr>
              <w:spacing w:before="20" w:after="20"/>
            </w:pPr>
            <w:r>
              <w:rPr>
                <w:rFonts w:ascii="Aptos" w:hAnsi="Aptos"/>
                <w:sz w:val="22"/>
              </w:rPr>
              <w:t>4. Laboratorium/Projekt</w:t>
            </w:r>
          </w:p>
          <w:p>
            <w:pPr>
              <w:spacing w:before="20" w:after="20"/>
            </w:pPr>
            <w:r>
              <w:rPr>
                <w:rFonts w:ascii="Aptos" w:hAnsi="Aptos"/>
                <w:sz w:val="22"/>
              </w:rPr>
              <w:t>5. rezultaty gry strategicznej, kolokwium końcowe</w:t>
            </w:r>
          </w:p>
          <w:p>
            <w:pPr>
              <w:spacing w:before="20" w:after="20"/>
            </w:pPr>
            <w:r>
              <w:rPr>
                <w:rFonts w:ascii="Aptos" w:hAnsi="Aptos"/>
                <w:sz w:val="22"/>
              </w:rPr>
              <w:t>6. Kryteria oceny:niedostateczny: &lt; 50% możliwych do zdobycia punktów dostateczny  :     50%-60% możliwych do zdobycia punktów dostateczny+ :    61%- 70% możliwych do zdobycia punktówdobry :                71%-80% możliwych do zdobycia punktówdobry +:              81%-90% możliwych do zdobycia punktów bardzo dobry  :   &gt;90%  możliwych do zdobycia punktów</w:t>
            </w:r>
          </w:p>
          <w:p>
            <w:pPr>
              <w:spacing w:before="20" w:after="20"/>
            </w:pPr>
            <w:r>
              <w:rPr>
                <w:rFonts w:ascii="Aptos" w:hAnsi="Aptos"/>
                <w:sz w:val="22"/>
              </w:rPr>
              <w:t>7. Zaliczenie – kolokwium końcowe z Laboratoriów</w:t>
            </w:r>
          </w:p>
        </w:tc>
        <w:tc>
          <w:tcPr>
            <w:tcW w:type="dxa" w:w="4986"/>
          </w:tcPr>
          <w:p>
            <w:pPr>
              <w:spacing w:before="20" w:after="20"/>
            </w:pPr>
            <w:r>
              <w:rPr>
                <w:rFonts w:ascii="Aptos" w:hAnsi="Aptos"/>
                <w:sz w:val="22"/>
              </w:rPr>
              <w:t>1. burza mózgów</w:t>
            </w:r>
          </w:p>
          <w:p>
            <w:pPr>
              <w:spacing w:before="20" w:after="20"/>
            </w:pPr>
            <w:r>
              <w:rPr>
                <w:rFonts w:ascii="Aptos" w:hAnsi="Aptos"/>
                <w:sz w:val="22"/>
              </w:rPr>
              <w:t>2. warsztaty</w:t>
            </w:r>
          </w:p>
          <w:p>
            <w:pPr>
              <w:spacing w:before="20" w:after="20"/>
            </w:pPr>
            <w:r>
              <w:rPr>
                <w:rFonts w:ascii="Aptos" w:hAnsi="Aptos"/>
                <w:sz w:val="22"/>
              </w:rPr>
              <w:t>3. Kryteria oceny</w:t>
            </w:r>
          </w:p>
          <w:p>
            <w:pPr>
              <w:spacing w:before="20" w:after="20"/>
            </w:pPr>
            <w:r>
              <w:rPr>
                <w:rFonts w:ascii="Aptos" w:hAnsi="Aptos"/>
                <w:sz w:val="22"/>
              </w:rPr>
              <w:t>4. Laboratorium/Projekt</w:t>
            </w:r>
          </w:p>
          <w:p>
            <w:pPr>
              <w:spacing w:before="20" w:after="20"/>
            </w:pPr>
            <w:r>
              <w:rPr>
                <w:rFonts w:ascii="Aptos" w:hAnsi="Aptos"/>
                <w:sz w:val="22"/>
              </w:rPr>
              <w:t>5. rezultaty gry strategicznej, kolokwium końcowe</w:t>
            </w:r>
          </w:p>
          <w:p>
            <w:pPr>
              <w:spacing w:before="20" w:after="20"/>
            </w:pPr>
            <w:r>
              <w:rPr>
                <w:rFonts w:ascii="Aptos" w:hAnsi="Aptos"/>
                <w:sz w:val="22"/>
              </w:rPr>
              <w:t>6. Kryteria oceny:niedostateczny: &lt; 50% możliwych do zdobycia punktów dostateczny  :     50%-60% możliwych do zdobycia punktów dostateczny+ :    61%- 70% możliwych do zdobycia punktówdobry :                71%-80% możliwych do zdobycia punktówdobry +:              81%-90% możliwych do zdobycia punktów bardzo dobry  :   &gt;90%  możliwych do zdobycia punktów</w:t>
            </w:r>
          </w:p>
          <w:p>
            <w:pPr>
              <w:spacing w:before="20" w:after="20"/>
            </w:pPr>
            <w:r>
              <w:rPr>
                <w:rFonts w:ascii="Aptos" w:hAnsi="Aptos"/>
                <w:sz w:val="22"/>
              </w:rPr>
              <w:t>7. Zaliczenie – kolokwium końcowe z Laboratoriów</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Analiza incydentów cyberbezpieczeństwa to proces badania i oceny zdarzeń, które mogą stanowić naruszenie cyberbezpieczeństwa. Celem jest zrozumienie, jak doszło do incydentu, jakie są jego skutki, jak można go zażegnać i jak zapobiegać podobnym incydentom w przyszłości. W całym tym procesie kluczowe jest posiadanie odpowiednich umiejętności analizy systemów i sieci, a także do podejmowania szybkich i skutecznych działań w celu zminimalizowania wpływu incydentów na cyberbezpieczeństwo.</w:t>
            </w:r>
          </w:p>
          <w:p>
            <w:pPr>
              <w:spacing w:before="80" w:after="20"/>
            </w:pPr>
            <w:r>
              <w:rPr>
                <w:rFonts w:ascii="Aptos" w:hAnsi="Aptos"/>
                <w:b/>
                <w:sz w:val="22"/>
              </w:rPr>
              <w:t>Abstrakt po angielsku:</w:t>
            </w:r>
          </w:p>
          <w:p>
            <w:pPr>
              <w:spacing w:before="20" w:after="20"/>
            </w:pPr>
            <w:r>
              <w:rPr>
                <w:rFonts w:ascii="Aptos" w:hAnsi="Aptos"/>
                <w:i/>
                <w:sz w:val="22"/>
              </w:rPr>
              <w:t>Cybersecurity incident analysis is the process of investigating and assessing events that may constitute a cybersecurity breach. The objective is to understand how the incident occurred, what its consequences are, how it can be mitigated, and how similar incidents can be prevented in the future. Throughout this process, it is essential to possess the appropriate skills in system and network analysis, as well as the ability to take rapid and effective action to minimize the impact of incidents on cybersecurity.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15.  Treści programowe poszczególnych zajęć:</w:t>
            </w:r>
          </w:p>
        </w:tc>
      </w:tr>
      <w:tr>
        <w:tc>
          <w:tcPr>
            <w:tcW w:type="dxa" w:w="3324"/>
            <w:shd w:val="clear" w:color="auto" w:fill="D9D9D9"/>
          </w:tcPr>
          <w:p>
            <w:pPr>
              <w:spacing w:before="20" w:after="20"/>
            </w:pPr>
            <w:r>
              <w:rPr>
                <w:rFonts w:ascii="Aptos" w:hAnsi="Aptos"/>
                <w:b/>
                <w:i w:val="0"/>
                <w:sz w:val="16"/>
              </w:rPr>
              <w:t>Nr zajęć</w:t>
            </w:r>
          </w:p>
        </w:tc>
        <w:tc>
          <w:tcPr>
            <w:tcW w:type="dxa" w:w="3324"/>
            <w:shd w:val="clear" w:color="auto" w:fill="D9D9D9"/>
          </w:tcPr>
          <w:p>
            <w:pPr>
              <w:spacing w:before="20" w:after="20"/>
            </w:pPr>
            <w:r>
              <w:rPr>
                <w:rFonts w:ascii="Aptos" w:hAnsi="Aptos"/>
                <w:b/>
                <w:i w:val="0"/>
                <w:sz w:val="16"/>
              </w:rPr>
              <w:t>Wykład</w:t>
            </w:r>
          </w:p>
        </w:tc>
        <w:tc>
          <w:tcPr>
            <w:tcW w:type="dxa" w:w="3324"/>
            <w:shd w:val="clear" w:color="auto" w:fill="D9D9D9"/>
          </w:tcPr>
          <w:p>
            <w:pPr>
              <w:spacing w:before="20" w:after="20"/>
            </w:pPr>
            <w:r>
              <w:rPr>
                <w:rFonts w:ascii="Aptos" w:hAnsi="Aptos"/>
                <w:b/>
                <w:i w:val="0"/>
                <w:sz w:val="16"/>
              </w:rPr>
              <w:t>Ćwiczenia / Laboratorium / Pracownia</w:t>
            </w:r>
          </w:p>
        </w:tc>
      </w:tr>
      <w:tr>
        <w:tc>
          <w:tcPr>
            <w:tcW w:type="dxa" w:w="3324"/>
          </w:tcPr>
          <w:p>
            <w:pPr>
              <w:spacing w:before="20" w:after="20"/>
            </w:pPr>
            <w:r>
              <w:rPr>
                <w:rFonts w:ascii="Aptos" w:hAnsi="Aptos"/>
                <w:b w:val="0"/>
                <w:i w:val="0"/>
                <w:sz w:val="22"/>
              </w:rPr>
              <w:t>1.</w:t>
            </w:r>
          </w:p>
        </w:tc>
        <w:tc>
          <w:tcPr>
            <w:tcW w:type="dxa" w:w="3324"/>
          </w:tcPr>
          <w:p>
            <w:pPr>
              <w:spacing w:before="20" w:after="20"/>
            </w:pPr>
            <w:r>
              <w:rPr>
                <w:rFonts w:ascii="Aptos" w:hAnsi="Aptos"/>
                <w:b w:val="0"/>
                <w:i w:val="0"/>
                <w:sz w:val="22"/>
              </w:rPr>
              <w:t>Wykład:</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2.</w:t>
            </w:r>
          </w:p>
        </w:tc>
        <w:tc>
          <w:tcPr>
            <w:tcW w:type="dxa" w:w="3324"/>
          </w:tcPr>
          <w:p>
            <w:pPr>
              <w:spacing w:before="20" w:after="20"/>
            </w:pPr>
            <w:r>
              <w:rPr>
                <w:rFonts w:ascii="Aptos" w:hAnsi="Aptos"/>
                <w:b w:val="0"/>
                <w:i w:val="0"/>
                <w:sz w:val="22"/>
              </w:rPr>
              <w:t>Anatomia zagrożenia – Ransomware (wg. ENISA)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3.</w:t>
            </w:r>
          </w:p>
        </w:tc>
        <w:tc>
          <w:tcPr>
            <w:tcW w:type="dxa" w:w="3324"/>
          </w:tcPr>
          <w:p>
            <w:pPr>
              <w:spacing w:before="20" w:after="20"/>
            </w:pPr>
            <w:r>
              <w:rPr>
                <w:rFonts w:ascii="Aptos" w:hAnsi="Aptos"/>
                <w:b w:val="0"/>
                <w:i w:val="0"/>
                <w:sz w:val="22"/>
              </w:rPr>
              <w:t>Anatomia zagrożenia – Malware (wg. ENISA)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4.</w:t>
            </w:r>
          </w:p>
        </w:tc>
        <w:tc>
          <w:tcPr>
            <w:tcW w:type="dxa" w:w="3324"/>
          </w:tcPr>
          <w:p>
            <w:pPr>
              <w:spacing w:before="20" w:after="20"/>
            </w:pPr>
            <w:r>
              <w:rPr>
                <w:rFonts w:ascii="Aptos" w:hAnsi="Aptos"/>
                <w:b w:val="0"/>
                <w:i w:val="0"/>
                <w:sz w:val="22"/>
              </w:rPr>
              <w:t>Anatomia zagrożenia – Cryptojacking (wg. ENISA)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5.</w:t>
            </w:r>
          </w:p>
        </w:tc>
        <w:tc>
          <w:tcPr>
            <w:tcW w:type="dxa" w:w="3324"/>
          </w:tcPr>
          <w:p>
            <w:pPr>
              <w:spacing w:before="20" w:after="20"/>
            </w:pPr>
            <w:r>
              <w:rPr>
                <w:rFonts w:ascii="Aptos" w:hAnsi="Aptos"/>
                <w:b w:val="0"/>
                <w:i w:val="0"/>
                <w:sz w:val="22"/>
              </w:rPr>
              <w:t>Anatomia zagrożenia - E-mail related threats (wg. ENISA)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6.</w:t>
            </w:r>
          </w:p>
        </w:tc>
        <w:tc>
          <w:tcPr>
            <w:tcW w:type="dxa" w:w="3324"/>
          </w:tcPr>
          <w:p>
            <w:pPr>
              <w:spacing w:before="20" w:after="20"/>
            </w:pPr>
            <w:r>
              <w:rPr>
                <w:rFonts w:ascii="Aptos" w:hAnsi="Aptos"/>
                <w:b w:val="0"/>
                <w:i w:val="0"/>
                <w:sz w:val="22"/>
              </w:rPr>
              <w:t>Anatomia zagrożenia - Threats against data (wg. ENISA)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7.</w:t>
            </w:r>
          </w:p>
        </w:tc>
        <w:tc>
          <w:tcPr>
            <w:tcW w:type="dxa" w:w="3324"/>
          </w:tcPr>
          <w:p>
            <w:pPr>
              <w:spacing w:before="20" w:after="20"/>
            </w:pPr>
            <w:r>
              <w:rPr>
                <w:rFonts w:ascii="Aptos" w:hAnsi="Aptos"/>
                <w:b w:val="0"/>
                <w:i w:val="0"/>
                <w:sz w:val="22"/>
              </w:rPr>
              <w:t>Anatomia zagrożenia - Threats against availability and integrity (wg. ENISA)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8.</w:t>
            </w:r>
          </w:p>
        </w:tc>
        <w:tc>
          <w:tcPr>
            <w:tcW w:type="dxa" w:w="3324"/>
          </w:tcPr>
          <w:p>
            <w:pPr>
              <w:spacing w:before="20" w:after="20"/>
            </w:pPr>
            <w:r>
              <w:rPr>
                <w:rFonts w:ascii="Aptos" w:hAnsi="Aptos"/>
                <w:b w:val="0"/>
                <w:i w:val="0"/>
                <w:sz w:val="22"/>
              </w:rPr>
              <w:t>Anatomia zagrożenia - Disinformation – misinformation (wg. ENISA)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9.</w:t>
            </w:r>
          </w:p>
        </w:tc>
        <w:tc>
          <w:tcPr>
            <w:tcW w:type="dxa" w:w="3324"/>
          </w:tcPr>
          <w:p>
            <w:pPr>
              <w:spacing w:before="20" w:after="20"/>
            </w:pPr>
            <w:r>
              <w:rPr>
                <w:rFonts w:ascii="Aptos" w:hAnsi="Aptos"/>
                <w:b w:val="0"/>
                <w:i w:val="0"/>
                <w:sz w:val="22"/>
              </w:rPr>
              <w:t>Anatomia zagrożenia - Non-malicious threats (wg. ENISA)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10.</w:t>
            </w:r>
          </w:p>
        </w:tc>
        <w:tc>
          <w:tcPr>
            <w:tcW w:type="dxa" w:w="3324"/>
          </w:tcPr>
          <w:p>
            <w:pPr>
              <w:spacing w:before="20" w:after="20"/>
            </w:pPr>
            <w:r>
              <w:rPr>
                <w:rFonts w:ascii="Aptos" w:hAnsi="Aptos"/>
                <w:b w:val="0"/>
                <w:i w:val="0"/>
                <w:sz w:val="22"/>
              </w:rPr>
              <w:t>Laboratoria: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11.</w:t>
            </w:r>
          </w:p>
        </w:tc>
        <w:tc>
          <w:tcPr>
            <w:tcW w:type="dxa" w:w="3324"/>
          </w:tcPr>
          <w:p>
            <w:pPr>
              <w:spacing w:before="20" w:after="20"/>
            </w:pPr>
            <w:r>
              <w:rPr>
                <w:rFonts w:ascii="Aptos" w:hAnsi="Aptos"/>
                <w:b w:val="0"/>
                <w:i w:val="0"/>
                <w:sz w:val="22"/>
              </w:rPr>
              <w:t>Zapoznanie się z organizacją oraz utworzenie Zespołów SOC</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12.</w:t>
            </w:r>
          </w:p>
        </w:tc>
        <w:tc>
          <w:tcPr>
            <w:tcW w:type="dxa" w:w="3324"/>
          </w:tcPr>
          <w:p>
            <w:pPr>
              <w:spacing w:before="20" w:after="20"/>
            </w:pPr>
            <w:r>
              <w:rPr>
                <w:rFonts w:ascii="Aptos" w:hAnsi="Aptos"/>
                <w:b w:val="0"/>
                <w:i w:val="0"/>
                <w:sz w:val="22"/>
              </w:rPr>
              <w:t>Atak 1: Atak typu Ransomware, Poziom 1– Reakcja i prewencja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13.</w:t>
            </w:r>
          </w:p>
        </w:tc>
        <w:tc>
          <w:tcPr>
            <w:tcW w:type="dxa" w:w="3324"/>
          </w:tcPr>
          <w:p>
            <w:pPr>
              <w:spacing w:before="20" w:after="20"/>
            </w:pPr>
            <w:r>
              <w:rPr>
                <w:rFonts w:ascii="Aptos" w:hAnsi="Aptos"/>
                <w:b w:val="0"/>
                <w:i w:val="0"/>
                <w:sz w:val="22"/>
              </w:rPr>
              <w:t>Atak 2: Atak typu Malware. Poziom 1 – Reakcja i prewencja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14.</w:t>
            </w:r>
          </w:p>
        </w:tc>
        <w:tc>
          <w:tcPr>
            <w:tcW w:type="dxa" w:w="3324"/>
          </w:tcPr>
          <w:p>
            <w:pPr>
              <w:spacing w:before="20" w:after="20"/>
            </w:pPr>
            <w:r>
              <w:rPr>
                <w:rFonts w:ascii="Aptos" w:hAnsi="Aptos"/>
                <w:b w:val="0"/>
                <w:i w:val="0"/>
                <w:sz w:val="22"/>
              </w:rPr>
              <w:t>Atak 3: Atak typu Cryptojacking, Poziom 1 – Reakcja i prewencja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15.</w:t>
            </w:r>
          </w:p>
        </w:tc>
        <w:tc>
          <w:tcPr>
            <w:tcW w:type="dxa" w:w="3324"/>
          </w:tcPr>
          <w:p>
            <w:pPr>
              <w:spacing w:before="20" w:after="20"/>
            </w:pPr>
            <w:r>
              <w:rPr>
                <w:rFonts w:ascii="Aptos" w:hAnsi="Aptos"/>
                <w:b w:val="0"/>
                <w:i w:val="0"/>
                <w:sz w:val="22"/>
              </w:rPr>
              <w:t>Atak 4: Atak typu E-mail related threats, Poziom 1 – Reakcja i prewencja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16.</w:t>
            </w:r>
          </w:p>
        </w:tc>
        <w:tc>
          <w:tcPr>
            <w:tcW w:type="dxa" w:w="3324"/>
          </w:tcPr>
          <w:p>
            <w:pPr>
              <w:spacing w:before="20" w:after="20"/>
            </w:pPr>
            <w:r>
              <w:rPr>
                <w:rFonts w:ascii="Aptos" w:hAnsi="Aptos"/>
                <w:b w:val="0"/>
                <w:i w:val="0"/>
                <w:sz w:val="22"/>
              </w:rPr>
              <w:t>Atak 5: Atak typu Threats against data, Poziom 1 – Reakcja i prewencja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17.</w:t>
            </w:r>
          </w:p>
        </w:tc>
        <w:tc>
          <w:tcPr>
            <w:tcW w:type="dxa" w:w="3324"/>
          </w:tcPr>
          <w:p>
            <w:pPr>
              <w:spacing w:before="20" w:after="20"/>
            </w:pPr>
            <w:r>
              <w:rPr>
                <w:rFonts w:ascii="Aptos" w:hAnsi="Aptos"/>
                <w:b w:val="0"/>
                <w:i w:val="0"/>
                <w:sz w:val="22"/>
              </w:rPr>
              <w:t>Atak 6: Atak typu Threats against availability and integrity, Poziom 1 – Reakcja i prewencja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18.</w:t>
            </w:r>
          </w:p>
        </w:tc>
        <w:tc>
          <w:tcPr>
            <w:tcW w:type="dxa" w:w="3324"/>
          </w:tcPr>
          <w:p>
            <w:pPr>
              <w:spacing w:before="20" w:after="20"/>
            </w:pPr>
            <w:r>
              <w:rPr>
                <w:rFonts w:ascii="Aptos" w:hAnsi="Aptos"/>
                <w:b w:val="0"/>
                <w:i w:val="0"/>
                <w:sz w:val="22"/>
              </w:rPr>
              <w:t>Atak 7: Atak typu Disinformation – misinformation, Poziom 1 – Reakcja i prewencja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19.</w:t>
            </w:r>
          </w:p>
        </w:tc>
        <w:tc>
          <w:tcPr>
            <w:tcW w:type="dxa" w:w="3324"/>
          </w:tcPr>
          <w:p>
            <w:pPr>
              <w:spacing w:before="20" w:after="20"/>
            </w:pPr>
            <w:r>
              <w:rPr>
                <w:rFonts w:ascii="Aptos" w:hAnsi="Aptos"/>
                <w:b w:val="0"/>
                <w:i w:val="0"/>
                <w:sz w:val="22"/>
              </w:rPr>
              <w:t>Atak 8: Atak typu Non-malicious threats, Poziom 1 – Reakcja i prewencja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20.</w:t>
            </w:r>
          </w:p>
        </w:tc>
        <w:tc>
          <w:tcPr>
            <w:tcW w:type="dxa" w:w="3324"/>
          </w:tcPr>
          <w:p>
            <w:pPr>
              <w:spacing w:before="20" w:after="20"/>
            </w:pPr>
            <w:r>
              <w:rPr>
                <w:rFonts w:ascii="Aptos" w:hAnsi="Aptos"/>
                <w:b w:val="0"/>
                <w:i w:val="0"/>
                <w:sz w:val="22"/>
              </w:rPr>
              <w:t>Atak 9: Atak typu Zaawansowany wektor ataku 1, Poziom 2  – Reakcja i prewencja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21.</w:t>
            </w:r>
          </w:p>
        </w:tc>
        <w:tc>
          <w:tcPr>
            <w:tcW w:type="dxa" w:w="3324"/>
          </w:tcPr>
          <w:p>
            <w:pPr>
              <w:spacing w:before="20" w:after="20"/>
            </w:pPr>
            <w:r>
              <w:rPr>
                <w:rFonts w:ascii="Aptos" w:hAnsi="Aptos"/>
                <w:b w:val="0"/>
                <w:i w:val="0"/>
                <w:sz w:val="22"/>
              </w:rPr>
              <w:t>Atak 10: Atak typu Zaawansowany wektor ataku 2, Poziom 2  – Reakcja i prewencja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22.</w:t>
            </w:r>
          </w:p>
        </w:tc>
        <w:tc>
          <w:tcPr>
            <w:tcW w:type="dxa" w:w="3324"/>
          </w:tcPr>
          <w:p>
            <w:pPr>
              <w:spacing w:before="20" w:after="20"/>
            </w:pPr>
            <w:r>
              <w:rPr>
                <w:rFonts w:ascii="Aptos" w:hAnsi="Aptos"/>
                <w:b w:val="0"/>
                <w:i w:val="0"/>
                <w:sz w:val="22"/>
              </w:rPr>
              <w:t>Atak 11: Atak typu Zaawansowany wektor ataku 3, Poziom 2  – Reakcja i prewencja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23.</w:t>
            </w:r>
          </w:p>
        </w:tc>
        <w:tc>
          <w:tcPr>
            <w:tcW w:type="dxa" w:w="3324"/>
          </w:tcPr>
          <w:p>
            <w:pPr>
              <w:spacing w:before="20" w:after="20"/>
            </w:pPr>
            <w:r>
              <w:rPr>
                <w:rFonts w:ascii="Aptos" w:hAnsi="Aptos"/>
                <w:b w:val="0"/>
                <w:i w:val="0"/>
                <w:sz w:val="22"/>
              </w:rPr>
              <w:t>Atak 12 : Atak typu Zaawansowany wektor ataku 4, Poziom 2  – Reakcja i prewencja</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William Stallings, Lawrie Brown - Bezpieczeństwo systemów informatycznych. Zasady i praktyka. (ang. Computer Security: Principles and Practice), Wydanie IV. Tom 1 i 2, Helion 2019</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Dokumentacja internetowa:</w:t>
            </w:r>
          </w:p>
        </w:tc>
      </w:tr>
      <w:tr>
        <w:tc>
          <w:tcPr>
            <w:tcW w:type="dxa" w:w="9972"/>
          </w:tcPr>
          <w:p>
            <w:pPr>
              <w:spacing w:before="20" w:after="20"/>
            </w:pPr>
            <w:r>
              <w:rPr>
                <w:rFonts w:ascii="Aptos" w:hAnsi="Aptos"/>
                <w:sz w:val="22"/>
              </w:rPr>
              <w:t>• https://www.enisa.europa.eu/publications/enisa-threat-landscape-methodology?v2=1</w:t>
            </w:r>
          </w:p>
          <w:p>
            <w:pPr>
              <w:spacing w:before="20" w:after="20"/>
            </w:pPr>
            <w:r>
              <w:rPr>
                <w:rFonts w:ascii="Aptos" w:hAnsi="Aptos"/>
                <w:sz w:val="22"/>
              </w:rPr>
              <w:t>• https://www.enisa.europa.eu/publications/enisa-threat-landscape-2021?v2=1</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K_W23</w:t>
            </w:r>
          </w:p>
        </w:tc>
        <w:tc>
          <w:tcPr>
            <w:tcW w:type="dxa" w:w="3324"/>
          </w:tcPr>
          <w:p>
            <w:pPr>
              <w:spacing w:before="20" w:after="20"/>
            </w:pPr>
            <w:r>
              <w:rPr>
                <w:rFonts w:ascii="Aptos" w:hAnsi="Aptos"/>
                <w:b w:val="0"/>
                <w:i w:val="0"/>
                <w:sz w:val="22"/>
              </w:rPr>
              <w:t>Student zna i rozumie anatomię kluczowych zagrożeń Cyber</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podstawowe środki ochrony i reakcji na kluczowe zagrożenia Cyber</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K_U30</w:t>
            </w:r>
          </w:p>
        </w:tc>
        <w:tc>
          <w:tcPr>
            <w:tcW w:type="dxa" w:w="3324"/>
          </w:tcPr>
          <w:p>
            <w:pPr>
              <w:spacing w:before="20" w:after="20"/>
            </w:pPr>
            <w:r>
              <w:rPr>
                <w:rFonts w:ascii="Aptos" w:hAnsi="Aptos"/>
                <w:b w:val="0"/>
                <w:i w:val="0"/>
                <w:sz w:val="22"/>
              </w:rPr>
              <w:t>Student potrafi przygotować zestaw środków ochrony informacji odpowiednich dla różnych typów zagrożeń</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wskazać mocne i słabe strony systemów ochrony informacji</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ł</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