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kwestii omawianych na wykładach. Studenci otrzymują zadania programistyczne do wykonania podczas zajęć (do zdobycia maks. 40 punktów, z gradacją 0.5 p.)</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kwestii omawianych na wykładach. Studenci otrzymują zadania programistyczne do wykonania podczas zajęć (do zdobycia maks. 40 punktów, z gradacją 0.5 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Sieci autoasocjacyjne. Transfer learning. Walidacja krzyżowa. Elementy wyjaśnialnej sztucznej inteligencji.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Sieci rekurencyjne. Budowa, metody uczenia, zastosowania, ograniczenia. Pamięci asocjacyjne. Komórki LSTM i GRU.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Strategie gier dwuosobowych. Algorytm MINIMAX.  Funkcja heurystyczna. Przycinanie alfa-beta. Idea self-play.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Automaty komórkowe ze szczególnym uwzględnieniem ich zastosowania w uczeniu maszynowym.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Elementy języka Prolog. Zapis predykatów. Wnioskowanie wstecz i w przód.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 A. lista dotychczas zaproponowanych metod dydaktycznych; można zaproponować inne.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wykład konwersatoryjny (z elementami dyskusji)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wykład z prezentacją multimedialną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wykład z prezentacją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warsztaty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Ćwiczenia / Laboratorium/Lektorat: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analiza tekstów z dyskusją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metoda projektów (projekt praktyczny)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praca w grupach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dyskusja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rozwiązywanie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burza mózgów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mind map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puzzle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studia przypadków z bazy studiów przypadków opracowanych przez firmy MŚP lub będące efektem staży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praca grupowa nad projektem z wykorzystaniem nowoczesnych technik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warsztaty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 B. lista dotychczas zaproponowanych metod weryfikacji; można zaproponować inne.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sprawdziany wstępne „wejściówki”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kolokwium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kolokwium końcowe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egzamin pisemny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egzamin pisemny - test wyboru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egzamin pisemny - tekst z lukami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egzamin pisemny z zadaniami problemowymi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egzamin pisemny ze studium przypadku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egzamin ustny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końcowe sprawozdanie z pracy w zespole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prezentacja samodzielnej pracy semestralnej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prezentacja elementu zespołowej pracy semestralnej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prezentacja projektu i dokumentacji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prezentacja mini-projektu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obrona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51.</w:t>
            </w:r>
          </w:p>
        </w:tc>
        <w:tc>
          <w:tcPr>
            <w:tcW w:type="dxa" w:w="3324"/>
          </w:tcPr>
          <w:p>
            <w:pPr>
              <w:spacing w:before="20" w:after="20"/>
            </w:pPr>
            <w:r>
              <w:rPr>
                <w:rFonts w:ascii="Aptos" w:hAnsi="Aptos"/>
                <w:b w:val="0"/>
                <w:i w:val="0"/>
                <w:sz w:val="22"/>
              </w:rPr>
              <w:t>rezultaty gry strategicznej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52.</w:t>
            </w:r>
          </w:p>
        </w:tc>
        <w:tc>
          <w:tcPr>
            <w:tcW w:type="dxa" w:w="3324"/>
          </w:tcPr>
          <w:p>
            <w:pPr>
              <w:spacing w:before="20" w:after="20"/>
            </w:pPr>
            <w:r>
              <w:rPr>
                <w:rFonts w:ascii="Aptos" w:hAnsi="Aptos"/>
                <w:b w:val="0"/>
                <w:i w:val="0"/>
                <w:sz w:val="22"/>
              </w:rPr>
              <w:t>ocena pracy podczas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53.</w:t>
            </w:r>
          </w:p>
        </w:tc>
        <w:tc>
          <w:tcPr>
            <w:tcW w:type="dxa" w:w="3324"/>
          </w:tcPr>
          <w:p>
            <w:pPr>
              <w:spacing w:before="20" w:after="20"/>
            </w:pPr>
            <w:r>
              <w:rPr>
                <w:rFonts w:ascii="Aptos" w:hAnsi="Aptos"/>
                <w:b w:val="0"/>
                <w:i w:val="0"/>
                <w:sz w:val="22"/>
              </w:rPr>
              <w:t>raport z wykonanego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54.</w:t>
            </w:r>
          </w:p>
        </w:tc>
        <w:tc>
          <w:tcPr>
            <w:tcW w:type="dxa" w:w="3324"/>
          </w:tcPr>
          <w:p>
            <w:pPr>
              <w:spacing w:before="20" w:after="20"/>
            </w:pPr>
            <w:r>
              <w:rPr>
                <w:rFonts w:ascii="Aptos" w:hAnsi="Aptos"/>
                <w:b w:val="0"/>
                <w:i w:val="0"/>
                <w:sz w:val="22"/>
              </w:rPr>
              <w:t>ocena sporządzonego dokumentu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55.</w:t>
            </w:r>
          </w:p>
        </w:tc>
        <w:tc>
          <w:tcPr>
            <w:tcW w:type="dxa" w:w="3324"/>
          </w:tcPr>
          <w:p>
            <w:pPr>
              <w:spacing w:before="20" w:after="20"/>
            </w:pPr>
            <w:r>
              <w:rPr>
                <w:rFonts w:ascii="Aptos" w:hAnsi="Aptos"/>
                <w:b w:val="0"/>
                <w:i w:val="0"/>
                <w:sz w:val="22"/>
              </w:rPr>
              <w:t>ocena sporządzonego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56.</w:t>
            </w:r>
          </w:p>
        </w:tc>
        <w:tc>
          <w:tcPr>
            <w:tcW w:type="dxa" w:w="3324"/>
          </w:tcPr>
          <w:p>
            <w:pPr>
              <w:spacing w:before="20" w:after="20"/>
            </w:pPr>
            <w:r>
              <w:rPr>
                <w:rFonts w:ascii="Aptos" w:hAnsi="Aptos"/>
                <w:b w:val="0"/>
                <w:i w:val="0"/>
                <w:sz w:val="22"/>
              </w:rPr>
              <w:t>wskazanie źródeł użytych materiałów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57.</w:t>
            </w:r>
          </w:p>
        </w:tc>
        <w:tc>
          <w:tcPr>
            <w:tcW w:type="dxa" w:w="3324"/>
          </w:tcPr>
          <w:p>
            <w:pPr>
              <w:spacing w:before="20" w:after="20"/>
            </w:pPr>
            <w:r>
              <w:rPr>
                <w:rFonts w:ascii="Aptos" w:hAnsi="Aptos"/>
                <w:b w:val="0"/>
                <w:i w:val="0"/>
                <w:sz w:val="22"/>
              </w:rPr>
              <w:t>kwestionariusz wywiadu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58.</w:t>
            </w:r>
          </w:p>
        </w:tc>
        <w:tc>
          <w:tcPr>
            <w:tcW w:type="dxa" w:w="3324"/>
          </w:tcPr>
          <w:p>
            <w:pPr>
              <w:spacing w:before="20" w:after="20"/>
            </w:pPr>
            <w:r>
              <w:rPr>
                <w:rFonts w:ascii="Aptos" w:hAnsi="Aptos"/>
                <w:b w:val="0"/>
                <w:i w:val="0"/>
                <w:sz w:val="22"/>
              </w:rPr>
              <w:t>sprawozdanie z rozmowy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zapisanie na ścieżkę certyfikacyjną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//C. ECTS sposób obliczania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61.</w:t>
            </w:r>
          </w:p>
        </w:tc>
        <w:tc>
          <w:tcPr>
            <w:tcW w:type="dxa" w:w="3324"/>
          </w:tcPr>
          <w:p>
            <w:pPr>
              <w:spacing w:before="20" w:after="20"/>
            </w:pPr>
            <w:r>
              <w:rPr>
                <w:rFonts w:ascii="Aptos" w:hAnsi="Aptos"/>
                <w:b w:val="0"/>
                <w:i w:val="0"/>
                <w:sz w:val="22"/>
              </w:rPr>
              <w:t>1 punkt ECTS przyznawany jest za 25-30 godzin pracy studenta. W obliczanie punktów ECTS włącza się: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62.</w:t>
            </w:r>
          </w:p>
        </w:tc>
        <w:tc>
          <w:tcPr>
            <w:tcW w:type="dxa" w:w="3324"/>
          </w:tcPr>
          <w:p>
            <w:pPr>
              <w:spacing w:before="20" w:after="20"/>
            </w:pPr>
            <w:r>
              <w:rPr>
                <w:rFonts w:ascii="Aptos" w:hAnsi="Aptos"/>
                <w:b w:val="0"/>
                <w:i w:val="0"/>
                <w:sz w:val="22"/>
              </w:rPr>
              <w:t>liczbę godzin poszczególnych przedmiotów w danym semestrze;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63.</w:t>
            </w:r>
          </w:p>
        </w:tc>
        <w:tc>
          <w:tcPr>
            <w:tcW w:type="dxa" w:w="3324"/>
          </w:tcPr>
          <w:p>
            <w:pPr>
              <w:spacing w:before="20" w:after="20"/>
            </w:pPr>
            <w:r>
              <w:rPr>
                <w:rFonts w:ascii="Aptos" w:hAnsi="Aptos"/>
                <w:b w:val="0"/>
                <w:i w:val="0"/>
                <w:sz w:val="22"/>
              </w:rPr>
              <w:t>czas, jaki student poświęcił na indywidualną naukę (w tym przygotowanie do zajęć, zbieranie materiałów czy pisanie prac zaliczeniowych);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64.</w:t>
            </w:r>
          </w:p>
        </w:tc>
        <w:tc>
          <w:tcPr>
            <w:tcW w:type="dxa" w:w="3324"/>
          </w:tcPr>
          <w:p>
            <w:pPr>
              <w:spacing w:before="20" w:after="20"/>
            </w:pPr>
            <w:r>
              <w:rPr>
                <w:rFonts w:ascii="Aptos" w:hAnsi="Aptos"/>
                <w:b w:val="0"/>
                <w:i w:val="0"/>
                <w:sz w:val="22"/>
              </w:rPr>
              <w:t>czas, jaki student poświęcił na przygotowanie do egzaminu i zaliczenie danego przedmiotu;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liczbę godzin praktyk studenckich.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