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2</w:t>
            </w:r>
          </w:p>
        </w:tc>
        <w:tc>
          <w:tcPr>
            <w:tcW w:type="dxa" w:w="4986"/>
            <w:gridSpan w:val="2"/>
          </w:tcPr>
          <w:p>
            <w:pPr>
              <w:spacing w:before="20" w:after="20"/>
            </w:pPr>
            <w:r>
              <w:rPr>
                <w:rFonts w:ascii="Aptos" w:hAnsi="Aptos"/>
                <w:b w:val="0"/>
                <w:i w:val="0"/>
                <w:sz w:val="22"/>
              </w:rPr>
              <w:t>05.03.2026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59</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Cwiczenia:</w:t>
            </w:r>
          </w:p>
          <w:p>
            <w:pPr>
              <w:spacing w:before="20" w:after="20"/>
            </w:pPr>
            <w:r>
              <w:rPr>
                <w:rFonts w:ascii="Aptos" w:hAnsi="Aptos"/>
                <w:b w:val="0"/>
                <w:sz w:val="22"/>
              </w:rPr>
              <w:t>• analiza tekstów z dyskusją, metoda projektów (projekt praktyczny), praca w grupach, dyskusja, rozwiązywanie zadań, burza mózgów, mind map praca grupowa nad projektem z wykorzystaniem nowoczesnych technik informatycznych,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c>
          <w:tcPr>
            <w:tcW w:type="dxa" w:w="4986"/>
          </w:tcPr>
          <w:p>
            <w:pPr>
              <w:spacing w:before="20" w:after="20"/>
            </w:pPr>
            <w:r>
              <w:rPr>
                <w:rFonts w:ascii="Aptos" w:hAnsi="Aptos"/>
                <w:sz w:val="22"/>
              </w:rPr>
              <w:t>1. Obecność na zajęciach – zgodnie z regulaminem 15% nieobecności nieustawiedliwionych, 15% nieobecności usprawiedliwionych</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1-2 na semestr (decyzja lektora)</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pisemne/testy/formę zaliczenia ustaloną przez lektora na podstawie poziomu grupy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JAP1</w:t>
            </w:r>
          </w:p>
        </w:tc>
        <w:tc>
          <w:tcPr>
            <w:tcW w:type="dxa" w:w="4986"/>
          </w:tcPr>
          <w:p>
            <w:pPr>
              <w:spacing w:before="20" w:after="20"/>
            </w:pPr>
            <w:r>
              <w:rPr>
                <w:rFonts w:ascii="Aptos" w:hAnsi="Aptos"/>
                <w:b w:val="0"/>
                <w:i w:val="0"/>
                <w:sz w:val="22"/>
              </w:rPr>
              <w:t>Znajomość zagadnień z JAP1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Nowe kanji:  wprowadzenie znaków i układanie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Czasowniki – forma ta i forma nai – omówienie gramatyki.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Czasowniki – forma ta i forma nai – ćwiczenia i zadania.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Różnica między formą tamama i nagara – omówienie gramatyki.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Forma -ndesu – wprowadzenie konstrukcji i przykłady.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Forma -ndesu – budowanie zdań i ćwiczenia.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Forma -ndesuga – wprowadzenie konstrukcji i budowanie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Forma -ndesuga – ćwiczenia ze słuchu z użyciem konstrukcji ndesu.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Forma -te itadakemasen ka – wprowadzenie konstrukcji i budowanie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Forma gramatyczna tagatteimasu, tagarimasen – powtórzenie i przykłady.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Forma te – powtórzenie konstrukcji i ćwiczenia.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Forma te – utrwalenie poprzez dialogi i zadania komunikacyjne.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Test z formy 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Słuchanie – próbne testy JLPT N5.</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Pisanie wypracowania – opis wyglądu wybranej postaci.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Próbne testy JLPT N5 – kanji i gramatyka.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Próbne testy JLPT N5 – czytanki.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Próbne testy JLPT N5 – słuchanie.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Powtórzenie materiału z całego semestru – budowanie zdań i ćwiczenia komunikacyjne.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Kolokwium zaliczeniowe – gramatyka, kanji, czytanie i słuchanie.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Materiały własne – przygotowane przez lektorkę Lindę Czernichowską-Kramarz na podstawie własnych pomysłów oraz różnych książek</w:t>
            </w:r>
          </w:p>
          <w:p>
            <w:pPr>
              <w:spacing w:before="20" w:after="20"/>
            </w:pPr>
            <w:r>
              <w:rPr>
                <w:rFonts w:ascii="Aptos" w:hAnsi="Aptos"/>
                <w:sz w:val="22"/>
              </w:rPr>
              <w:t>2. Minna no nihongo I – główny podręcznik  wyd. 3anetwork Japonia</w:t>
            </w:r>
          </w:p>
          <w:p>
            <w:pPr>
              <w:spacing w:before="20" w:after="20"/>
            </w:pPr>
            <w:r>
              <w:rPr>
                <w:rFonts w:ascii="Aptos" w:hAnsi="Aptos"/>
                <w:sz w:val="22"/>
              </w:rPr>
              <w:t>3.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