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i aktywność na zajęciach (waga 100%)</w:t>
            </w:r>
          </w:p>
        </w:tc>
        <w:tc>
          <w:tcPr>
            <w:tcW w:type="dxa" w:w="4986"/>
          </w:tcPr>
          <w:p>
            <w:pPr>
              <w:spacing w:before="20" w:after="20"/>
            </w:pPr>
            <w:r>
              <w:rPr>
                <w:rFonts w:ascii="Aptos" w:hAnsi="Aptos"/>
                <w:sz w:val="22"/>
              </w:rPr>
              <w:t>1. Obecność i aktywność na zajęciach (waga 100%)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Fundamenty Przywództwa. Ewolucja lidera – od dowodzenia i kontroli do Servant Leadership.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Budowanie Zespołu. Rekrutacja "culture fit", onboarding i etapy formowania się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Komunikacja Lidera. Asertywność, radykalna szczerość (Radical Candor) i komunikacja w sytuacjach kryzysowych.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Motywacja i Zarządzanie Wydajnością. Co motywuje programistów? Autonomia, mistrzostwo i cel (Model Pinka).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Inteligencja Emocjonalna. Zarządzanie stresem własnym i zespołu, empatia w pracy zdalnej.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Personal Branding Lidera. Budowanie autorytetu technicznego i osobistego wewnątrz i na zewnątrz organizacji.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