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Język niemiecki 1</w:t>
            </w:r>
          </w:p>
        </w:tc>
        <w:tc>
          <w:tcPr>
            <w:tcW w:type="dxa" w:w="4986"/>
            <w:gridSpan w:val="2"/>
          </w:tcPr>
          <w:p>
            <w:pPr>
              <w:spacing w:before="20" w:after="20"/>
            </w:pPr>
            <w:r>
              <w:rPr>
                <w:rFonts w:ascii="Aptos" w:hAnsi="Aptos"/>
                <w:b w:val="0"/>
                <w:i w:val="0"/>
                <w:sz w:val="22"/>
              </w:rPr>
              <w:t>06.03.2026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NIM1</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Gdańsku</w:t>
            </w:r>
          </w:p>
        </w:tc>
        <w:tc>
          <w:tcPr>
            <w:tcW w:type="dxa" w:w="4986"/>
            <w:gridSpan w:val="2"/>
          </w:tcPr>
          <w:p>
            <w:pPr>
              <w:spacing w:before="20" w:after="20"/>
            </w:pPr>
            <w:r>
              <w:rPr>
                <w:rFonts w:ascii="Aptos" w:hAnsi="Aptos"/>
                <w:b w:val="0"/>
                <w:i w:val="0"/>
                <w:sz w:val="22"/>
              </w:rPr>
              <w:t>3</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r>
          </w:p>
        </w:tc>
        <w:tc>
          <w:tcPr>
            <w:tcW w:type="dxa" w:w="1662"/>
          </w:tcPr>
          <w:p>
            <w:pPr>
              <w:spacing w:before="20" w:after="20"/>
            </w:pPr>
            <w:r>
              <w:rPr>
                <w:rFonts w:ascii="Aptos" w:hAnsi="Aptos"/>
                <w:b w:val="0"/>
                <w:i w:val="0"/>
                <w:sz w:val="22"/>
              </w:rPr>
              <w:t>niestacjonarny</w:t>
            </w:r>
          </w:p>
        </w:tc>
        <w:tc>
          <w:tcPr>
            <w:tcW w:type="dxa" w:w="1662"/>
          </w:tcPr>
          <w:p>
            <w:pPr>
              <w:spacing w:before="20" w:after="20"/>
            </w:pPr>
            <w:r>
              <w:rPr>
                <w:rFonts w:ascii="Aptos" w:hAnsi="Aptos"/>
                <w:b w:val="0"/>
                <w:i w:val="0"/>
                <w:sz w:val="22"/>
              </w:rPr>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 xml:space="preserve">Studium Języków Obcych </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9.  Formy zajęć, sposób ich realizacji i przypisana im liczba godzin:</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2493"/>
            <w:shd w:val="clear" w:color="auto" w:fill="D9D9D9"/>
          </w:tcPr>
          <w:p>
            <w:pPr>
              <w:spacing w:before="20" w:after="20"/>
            </w:pPr>
            <w:r>
              <w:rPr>
                <w:rFonts w:ascii="Aptos" w:hAnsi="Aptos"/>
                <w:b/>
                <w:i w:val="0"/>
                <w:sz w:val="16"/>
              </w:rPr>
              <w:t>wykład</w:t>
            </w:r>
          </w:p>
        </w:tc>
        <w:tc>
          <w:tcPr>
            <w:tcW w:type="dxa" w:w="2493"/>
            <w:shd w:val="clear" w:color="auto" w:fill="D9D9D9"/>
          </w:tcPr>
          <w:p>
            <w:pPr>
              <w:spacing w:before="20" w:after="20"/>
            </w:pPr>
            <w:r>
              <w:rPr>
                <w:rFonts w:ascii="Aptos" w:hAnsi="Aptos"/>
                <w:b/>
                <w:i w:val="0"/>
                <w:sz w:val="16"/>
              </w:rPr>
              <w:t>ćwiczenia/laboratorium/pracownia</w:t>
            </w:r>
          </w:p>
        </w:tc>
        <w:tc>
          <w:tcPr>
            <w:tcW w:type="dxa" w:w="2493"/>
            <w:shd w:val="clear" w:color="auto" w:fill="D9D9D9"/>
          </w:tcPr>
          <w:p>
            <w:pPr>
              <w:spacing w:before="20" w:after="20"/>
            </w:pPr>
            <w:r>
              <w:rPr>
                <w:rFonts w:ascii="Aptos" w:hAnsi="Aptos"/>
                <w:b/>
                <w:i w:val="0"/>
                <w:sz w:val="16"/>
              </w:rPr>
              <w:t>wykład internetowo</w:t>
            </w:r>
          </w:p>
        </w:tc>
        <w:tc>
          <w:tcPr>
            <w:tcW w:type="dxa" w:w="2493"/>
            <w:shd w:val="clear" w:color="auto" w:fill="D9D9D9"/>
          </w:tcPr>
          <w:p>
            <w:pPr>
              <w:spacing w:before="20" w:after="20"/>
            </w:pPr>
            <w:r>
              <w:rPr>
                <w:rFonts w:ascii="Aptos" w:hAnsi="Aptos"/>
                <w:b/>
                <w:i w:val="0"/>
                <w:sz w:val="16"/>
              </w:rPr>
              <w:t>ćw./lab./prac. internetowo</w:t>
            </w:r>
          </w:p>
        </w:tc>
      </w:tr>
      <w:tr>
        <w:tc>
          <w:tcPr>
            <w:tcW w:type="dxa" w:w="2493"/>
          </w:tcPr>
          <w:p>
            <w:pPr>
              <w:spacing w:before="20" w:after="20"/>
            </w:pPr>
            <w:r>
              <w:rPr>
                <w:rFonts w:ascii="Aptos" w:hAnsi="Aptos"/>
                <w:b w:val="0"/>
                <w:i w:val="0"/>
                <w:sz w:val="22"/>
              </w:rPr>
              <w:t>—</w:t>
            </w:r>
          </w:p>
        </w:tc>
        <w:tc>
          <w:tcPr>
            <w:tcW w:type="dxa" w:w="2493"/>
          </w:tcPr>
          <w:p>
            <w:pPr>
              <w:spacing w:before="20" w:after="20"/>
            </w:pPr>
            <w:r>
              <w:rPr>
                <w:rFonts w:ascii="Aptos" w:hAnsi="Aptos"/>
                <w:b w:val="0"/>
                <w:i w:val="0"/>
                <w:sz w:val="22"/>
              </w:rPr>
              <w:t>16</w:t>
            </w:r>
          </w:p>
        </w:tc>
        <w:tc>
          <w:tcPr>
            <w:tcW w:type="dxa" w:w="2493"/>
          </w:tcPr>
          <w:p>
            <w:pPr>
              <w:spacing w:before="20" w:after="20"/>
            </w:pPr>
            <w:r>
              <w:rPr>
                <w:rFonts w:ascii="Aptos" w:hAnsi="Aptos"/>
                <w:b w:val="0"/>
                <w:i w:val="0"/>
                <w:sz w:val="22"/>
              </w:rPr>
              <w:t>—</w:t>
            </w:r>
          </w:p>
        </w:tc>
        <w:tc>
          <w:tcPr>
            <w:tcW w:type="dxa" w:w="2493"/>
          </w:tcPr>
          <w:p>
            <w:pPr>
              <w:spacing w:before="20" w:after="20"/>
            </w:pPr>
            <w:r>
              <w:rPr>
                <w:rFonts w:ascii="Aptos" w:hAnsi="Aptos"/>
                <w:b w:val="0"/>
                <w:i w:val="0"/>
                <w:sz w:val="22"/>
              </w:rPr>
              <w:t>—</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3324"/>
            <w:shd w:val="clear" w:color="auto" w:fill="D9D9D9"/>
          </w:tcPr>
          <w:p>
            <w:pPr>
              <w:spacing w:before="20" w:after="20"/>
            </w:pPr>
            <w:r>
              <w:rPr>
                <w:rFonts w:ascii="Aptos" w:hAnsi="Aptos"/>
                <w:b/>
                <w:i w:val="0"/>
                <w:sz w:val="16"/>
              </w:rPr>
              <w:t>Rodzaj nakładu pracy:</w:t>
            </w:r>
          </w:p>
        </w:tc>
        <w:tc>
          <w:tcPr>
            <w:tcW w:type="dxa" w:w="3324"/>
            <w:shd w:val="clear" w:color="auto" w:fill="D9D9D9"/>
          </w:tcPr>
          <w:p>
            <w:pPr>
              <w:spacing w:before="20" w:after="20"/>
            </w:pPr>
            <w:r>
              <w:rPr>
                <w:rFonts w:ascii="Aptos" w:hAnsi="Aptos"/>
                <w:b/>
                <w:i w:val="0"/>
                <w:sz w:val="16"/>
              </w:rPr>
              <w:t>Liczba godzin</w:t>
            </w:r>
          </w:p>
        </w:tc>
        <w:tc>
          <w:tcPr>
            <w:tcW w:type="dxa" w:w="3324"/>
            <w:shd w:val="clear" w:color="auto" w:fill="D9D9D9"/>
          </w:tcPr>
          <w:p>
            <w:pPr>
              <w:spacing w:before="20" w:after="20"/>
            </w:pPr>
            <w:r>
              <w:rPr>
                <w:rFonts w:ascii="Aptos" w:hAnsi="Aptos"/>
                <w:b/>
                <w:i w:val="0"/>
                <w:sz w:val="16"/>
              </w:rPr>
              <w:t>ECTS</w:t>
            </w:r>
          </w:p>
        </w:tc>
      </w:tr>
      <w:tr>
        <w:tc>
          <w:tcPr>
            <w:tcW w:type="dxa" w:w="3324"/>
          </w:tcPr>
          <w:p>
            <w:pPr>
              <w:spacing w:before="20" w:after="20"/>
            </w:pPr>
            <w:r>
              <w:rPr>
                <w:rFonts w:ascii="Aptos" w:hAnsi="Aptos"/>
                <w:b w:val="0"/>
                <w:i w:val="0"/>
                <w:sz w:val="22"/>
              </w:rPr>
              <w:t>Zajęcia z bezpośrednim udziałem nauczyciela</w:t>
            </w:r>
          </w:p>
        </w:tc>
        <w:tc>
          <w:tcPr>
            <w:tcW w:type="dxa" w:w="3324"/>
          </w:tcPr>
          <w:p>
            <w:pPr>
              <w:spacing w:before="20" w:after="20"/>
            </w:pPr>
            <w:r>
              <w:rPr>
                <w:rFonts w:ascii="Aptos" w:hAnsi="Aptos"/>
                <w:b w:val="0"/>
                <w:i w:val="0"/>
                <w:sz w:val="22"/>
              </w:rPr>
              <w:t>16</w:t>
            </w:r>
          </w:p>
        </w:tc>
        <w:tc>
          <w:tcPr>
            <w:tcW w:type="dxa" w:w="3324"/>
          </w:tcPr>
          <w:p>
            <w:pPr>
              <w:spacing w:before="20" w:after="20"/>
            </w:pPr>
            <w:r>
              <w:rPr>
                <w:rFonts w:ascii="Aptos" w:hAnsi="Aptos"/>
                <w:b w:val="0"/>
                <w:i w:val="0"/>
                <w:sz w:val="22"/>
              </w:rPr>
              <w:t>0.6</w:t>
            </w:r>
          </w:p>
        </w:tc>
      </w:tr>
      <w:tr>
        <w:tc>
          <w:tcPr>
            <w:tcW w:type="dxa" w:w="3324"/>
          </w:tcPr>
          <w:p>
            <w:pPr>
              <w:spacing w:before="20" w:after="20"/>
            </w:pPr>
            <w:r>
              <w:rPr>
                <w:rFonts w:ascii="Aptos" w:hAnsi="Aptos"/>
                <w:b w:val="0"/>
                <w:i w:val="0"/>
                <w:sz w:val="22"/>
              </w:rPr>
              <w:t>Samodzielna praca studenta</w:t>
            </w:r>
          </w:p>
        </w:tc>
        <w:tc>
          <w:tcPr>
            <w:tcW w:type="dxa" w:w="3324"/>
          </w:tcPr>
          <w:p>
            <w:pPr>
              <w:spacing w:before="20" w:after="20"/>
            </w:pPr>
            <w:r>
              <w:rPr>
                <w:rFonts w:ascii="Aptos" w:hAnsi="Aptos"/>
                <w:b w:val="0"/>
                <w:i w:val="0"/>
                <w:sz w:val="22"/>
              </w:rPr>
              <w:t>59</w:t>
            </w:r>
          </w:p>
        </w:tc>
        <w:tc>
          <w:tcPr>
            <w:tcW w:type="dxa" w:w="3324"/>
          </w:tcPr>
          <w:p>
            <w:pPr>
              <w:spacing w:before="20" w:after="20"/>
            </w:pPr>
            <w:r>
              <w:rPr>
                <w:rFonts w:ascii="Aptos" w:hAnsi="Aptos"/>
                <w:b w:val="0"/>
                <w:i w:val="0"/>
                <w:sz w:val="22"/>
              </w:rPr>
              <w:t>2.4</w:t>
            </w:r>
          </w:p>
        </w:tc>
      </w:tr>
      <w:tr>
        <w:tc>
          <w:tcPr>
            <w:tcW w:type="dxa" w:w="3324"/>
          </w:tcPr>
          <w:p>
            <w:pPr>
              <w:spacing w:before="20" w:after="20"/>
            </w:pPr>
            <w:r>
              <w:rPr>
                <w:rFonts w:ascii="Aptos" w:hAnsi="Aptos"/>
                <w:b w:val="0"/>
                <w:i w:val="0"/>
                <w:sz w:val="22"/>
              </w:rPr>
              <w:t>Suma</w:t>
            </w:r>
          </w:p>
        </w:tc>
        <w:tc>
          <w:tcPr>
            <w:tcW w:type="dxa" w:w="3324"/>
          </w:tcPr>
          <w:p>
            <w:pPr>
              <w:spacing w:before="20" w:after="20"/>
            </w:pPr>
            <w:r>
              <w:rPr>
                <w:rFonts w:ascii="Aptos" w:hAnsi="Aptos"/>
                <w:b w:val="0"/>
                <w:i w:val="0"/>
                <w:sz w:val="22"/>
              </w:rPr>
              <w:t>75</w:t>
            </w:r>
          </w:p>
        </w:tc>
        <w:tc>
          <w:tcPr>
            <w:tcW w:type="dxa" w:w="3324"/>
          </w:tcPr>
          <w:p>
            <w:pPr>
              <w:spacing w:before="20" w:after="20"/>
            </w:pPr>
            <w:r>
              <w:rPr>
                <w:rFonts w:ascii="Aptos" w:hAnsi="Aptos"/>
                <w:b w:val="0"/>
                <w:i w:val="0"/>
                <w:sz w:val="22"/>
              </w:rPr>
              <w:t>3</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Cwiczenia:</w:t>
            </w:r>
          </w:p>
          <w:p>
            <w:pPr>
              <w:spacing w:before="20" w:after="20"/>
            </w:pPr>
            <w:r>
              <w:rPr>
                <w:rFonts w:ascii="Aptos" w:hAnsi="Aptos"/>
                <w:b w:val="0"/>
                <w:sz w:val="22"/>
              </w:rPr>
              <w:t>• analiza tekstów z dyskusją, metoda projektów (projekt praktyczny), praca w grupach, dyskusja, rozwiązywanie zadań, burza mózgów, mind map, praca grupowa nad projektem z wykorzystaniem nowoczesnych technik informatycznych, warsztaty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sz w:val="22"/>
              </w:rPr>
              <w:t>1. Obecność na zajęciach – zgodnie z regulaminem 15% nieobecności nieustawiedliwionych, 15% nieobecności usprawiedliwionych</w:t>
            </w:r>
          </w:p>
          <w:p>
            <w:pPr>
              <w:spacing w:before="20" w:after="20"/>
            </w:pPr>
            <w:r>
              <w:rPr>
                <w:rFonts w:ascii="Aptos" w:hAnsi="Aptos"/>
                <w:sz w:val="22"/>
              </w:rPr>
              <w:t>2. Prace pisemne – min. jedna praca na semestr.</w:t>
            </w:r>
          </w:p>
          <w:p>
            <w:pPr>
              <w:spacing w:before="20" w:after="20"/>
            </w:pPr>
            <w:r>
              <w:rPr>
                <w:rFonts w:ascii="Aptos" w:hAnsi="Aptos"/>
                <w:sz w:val="22"/>
              </w:rPr>
              <w:t>3. Kolokwia/testy/kartkówki na podstawie opracowanego materiału – 1-2 na semestr (decyzja lektora)</w:t>
            </w:r>
          </w:p>
          <w:p>
            <w:pPr>
              <w:spacing w:before="20" w:after="20"/>
            </w:pPr>
            <w:r>
              <w:rPr>
                <w:rFonts w:ascii="Aptos" w:hAnsi="Aptos"/>
                <w:sz w:val="22"/>
              </w:rPr>
              <w:t>4. Wypowiedź ustna (o rodzaju decyduje lektor).</w:t>
            </w:r>
          </w:p>
          <w:p>
            <w:pPr>
              <w:spacing w:before="20" w:after="20"/>
            </w:pPr>
            <w:r>
              <w:rPr>
                <w:rFonts w:ascii="Aptos" w:hAnsi="Aptos"/>
                <w:sz w:val="22"/>
              </w:rPr>
              <w:t>5. Przygotowywanie prac domowych oraz aktywne uczestnictwo w zajęciach.</w:t>
            </w:r>
          </w:p>
          <w:p>
            <w:pPr>
              <w:spacing w:before="20" w:after="20"/>
            </w:pPr>
            <w:r>
              <w:rPr>
                <w:rFonts w:ascii="Aptos" w:hAnsi="Aptos"/>
                <w:sz w:val="22"/>
              </w:rPr>
              <w:t>6. Kryteria zaliczenia: uzyskanie przynajmniej 51% możliwych punktów za prace pisemne/testy/formę zaliczenia ustaloną przez lektora na podstawie poziomu grupy oraz pozytywna (min. 3.0) ocena łączna za pozostałe formy.</w:t>
            </w:r>
          </w:p>
        </w:tc>
        <w:tc>
          <w:tcPr>
            <w:tcW w:type="dxa" w:w="4986"/>
          </w:tcPr>
          <w:p>
            <w:pPr>
              <w:spacing w:before="20" w:after="20"/>
            </w:pPr>
            <w:r>
              <w:rPr>
                <w:rFonts w:ascii="Aptos" w:hAnsi="Aptos"/>
                <w:sz w:val="22"/>
              </w:rPr>
              <w:t>1. Obecność na zajęciach – zgodnie z regulaminem 15% nieobecności nieustawiedliwionych, 15% nieobecności usprawiedliwionych</w:t>
            </w:r>
          </w:p>
          <w:p>
            <w:pPr>
              <w:spacing w:before="20" w:after="20"/>
            </w:pPr>
            <w:r>
              <w:rPr>
                <w:rFonts w:ascii="Aptos" w:hAnsi="Aptos"/>
                <w:sz w:val="22"/>
              </w:rPr>
              <w:t>2. Prace pisemne – min. jedna praca na semestr.</w:t>
            </w:r>
          </w:p>
          <w:p>
            <w:pPr>
              <w:spacing w:before="20" w:after="20"/>
            </w:pPr>
            <w:r>
              <w:rPr>
                <w:rFonts w:ascii="Aptos" w:hAnsi="Aptos"/>
                <w:sz w:val="22"/>
              </w:rPr>
              <w:t>3. Kolokwia/testy/kartkówki na podstawie opracowanego materiału – 1-2 na semestr (decyzja lektora)</w:t>
            </w:r>
          </w:p>
          <w:p>
            <w:pPr>
              <w:spacing w:before="20" w:after="20"/>
            </w:pPr>
            <w:r>
              <w:rPr>
                <w:rFonts w:ascii="Aptos" w:hAnsi="Aptos"/>
                <w:sz w:val="22"/>
              </w:rPr>
              <w:t>4. Wypowiedź ustna (o rodzaju decyduje lektor).</w:t>
            </w:r>
          </w:p>
          <w:p>
            <w:pPr>
              <w:spacing w:before="20" w:after="20"/>
            </w:pPr>
            <w:r>
              <w:rPr>
                <w:rFonts w:ascii="Aptos" w:hAnsi="Aptos"/>
                <w:sz w:val="22"/>
              </w:rPr>
              <w:t>5. Przygotowywanie prac domowych oraz aktywne uczestnictwo w zajęciach.</w:t>
            </w:r>
          </w:p>
          <w:p>
            <w:pPr>
              <w:spacing w:before="20" w:after="20"/>
            </w:pPr>
            <w:r>
              <w:rPr>
                <w:rFonts w:ascii="Aptos" w:hAnsi="Aptos"/>
                <w:sz w:val="22"/>
              </w:rPr>
              <w:t>6. Kryteria zaliczenia: uzyskanie przynajmniej 51% możliwych punktów za prace pisemne/testy/formę zaliczenia ustaloną przez lektora na podstawie poziomu grupy oraz pozytywna (min. 3.0) ocena łączna za pozostałe formy.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ANG4</w:t>
            </w:r>
          </w:p>
        </w:tc>
        <w:tc>
          <w:tcPr>
            <w:tcW w:type="dxa" w:w="4986"/>
          </w:tcPr>
          <w:p>
            <w:pPr>
              <w:spacing w:before="20" w:after="20"/>
            </w:pPr>
            <w:r>
              <w:rPr>
                <w:rFonts w:ascii="Aptos" w:hAnsi="Aptos"/>
                <w:b w:val="0"/>
                <w:i w:val="0"/>
                <w:sz w:val="22"/>
              </w:rPr>
              <w:t>brak</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Nauczanie języka niemieckiego od poziomu A1 do A2. Student  opanowuje język niemiecki w stopniu pozwalającym na komunikację językową w większości sytuacji dnia codziennego i częściowo zawodowego, wyrażanie myśli i opinii, rozumienie i tworzenie krótkich tekstów pisanych i wypowiedzi ustnych na różne tematy. Student poznaje elementy kultury, historii i realiów życia codziennego w Niemczech i krajach niemieckojęzycznych.</w:t>
            </w:r>
          </w:p>
          <w:p>
            <w:pPr>
              <w:spacing w:before="80" w:after="20"/>
            </w:pPr>
            <w:r>
              <w:rPr>
                <w:rFonts w:ascii="Aptos" w:hAnsi="Aptos"/>
                <w:b/>
                <w:sz w:val="22"/>
              </w:rPr>
              <w:t>Abstrakt po angielsku:</w:t>
            </w:r>
          </w:p>
          <w:p>
            <w:pPr>
              <w:spacing w:before="20" w:after="20"/>
            </w:pPr>
            <w:r>
              <w:rPr>
                <w:rFonts w:ascii="Aptos" w:hAnsi="Aptos"/>
                <w:i/>
                <w:sz w:val="22"/>
              </w:rPr>
              <w:t>German language instruction from A1 to A2 level. Students acquire German proficiency enabling communication in most everyday situations and, to some extent, professional contexts, as well as expressing thoughts and opinions and understanding and producing short written texts and spoken statements on various topics. Students also learn about the culture, history, and everyday life of Germany and other German-speaking countries.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15.  Treści programowe poszczególnych zajęć:</w:t>
            </w:r>
          </w:p>
        </w:tc>
      </w:tr>
      <w:tr>
        <w:tc>
          <w:tcPr>
            <w:tcW w:type="dxa" w:w="3324"/>
            <w:shd w:val="clear" w:color="auto" w:fill="D9D9D9"/>
          </w:tcPr>
          <w:p>
            <w:pPr>
              <w:spacing w:before="20" w:after="20"/>
            </w:pPr>
            <w:r>
              <w:rPr>
                <w:rFonts w:ascii="Aptos" w:hAnsi="Aptos"/>
                <w:b/>
                <w:i w:val="0"/>
                <w:sz w:val="16"/>
              </w:rPr>
              <w:t>Nr zajęć</w:t>
            </w:r>
          </w:p>
        </w:tc>
        <w:tc>
          <w:tcPr>
            <w:tcW w:type="dxa" w:w="3324"/>
            <w:shd w:val="clear" w:color="auto" w:fill="D9D9D9"/>
          </w:tcPr>
          <w:p>
            <w:pPr>
              <w:spacing w:before="20" w:after="20"/>
            </w:pPr>
            <w:r>
              <w:rPr>
                <w:rFonts w:ascii="Aptos" w:hAnsi="Aptos"/>
                <w:b/>
                <w:i w:val="0"/>
                <w:sz w:val="16"/>
              </w:rPr>
              <w:t>Wykład</w:t>
            </w:r>
          </w:p>
        </w:tc>
        <w:tc>
          <w:tcPr>
            <w:tcW w:type="dxa" w:w="3324"/>
            <w:shd w:val="clear" w:color="auto" w:fill="D9D9D9"/>
          </w:tcPr>
          <w:p>
            <w:pPr>
              <w:spacing w:before="20" w:after="20"/>
            </w:pPr>
            <w:r>
              <w:rPr>
                <w:rFonts w:ascii="Aptos" w:hAnsi="Aptos"/>
                <w:b/>
                <w:i w:val="0"/>
                <w:sz w:val="16"/>
              </w:rPr>
              <w:t>Ćwiczenia / Laboratorium / Pracownia</w:t>
            </w:r>
          </w:p>
        </w:tc>
      </w:tr>
      <w:tr>
        <w:tc>
          <w:tcPr>
            <w:tcW w:type="dxa" w:w="3324"/>
          </w:tcPr>
          <w:p>
            <w:pPr>
              <w:spacing w:before="20" w:after="20"/>
            </w:pPr>
            <w:r>
              <w:rPr>
                <w:rFonts w:ascii="Aptos" w:hAnsi="Aptos"/>
                <w:b w:val="0"/>
                <w:i w:val="0"/>
                <w:sz w:val="22"/>
              </w:rPr>
              <w:t>1.</w:t>
            </w:r>
          </w:p>
        </w:tc>
        <w:tc>
          <w:tcPr>
            <w:tcW w:type="dxa" w:w="3324"/>
          </w:tcPr>
          <w:p>
            <w:pPr>
              <w:spacing w:before="20" w:after="20"/>
            </w:pPr>
            <w:r>
              <w:rPr>
                <w:rFonts w:ascii="Aptos" w:hAnsi="Aptos"/>
                <w:b w:val="0"/>
                <w:i w:val="0"/>
                <w:sz w:val="22"/>
              </w:rPr>
              <w:t>Mein Tagesablauf. T2- Guten Tag, Guten Morgen.</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2.</w:t>
            </w:r>
          </w:p>
        </w:tc>
        <w:tc>
          <w:tcPr>
            <w:tcW w:type="dxa" w:w="3324"/>
          </w:tcPr>
          <w:p>
            <w:pPr>
              <w:spacing w:before="20" w:after="20"/>
            </w:pPr>
            <w:r>
              <w:rPr>
                <w:rFonts w:ascii="Aptos" w:hAnsi="Aptos"/>
                <w:b w:val="0"/>
                <w:i w:val="0"/>
                <w:sz w:val="22"/>
              </w:rPr>
              <w:t>Willkommen. T2.- Ich spreche ein bisschen Deutsch.</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3.</w:t>
            </w:r>
          </w:p>
        </w:tc>
        <w:tc>
          <w:tcPr>
            <w:tcW w:type="dxa" w:w="3324"/>
          </w:tcPr>
          <w:p>
            <w:pPr>
              <w:spacing w:before="20" w:after="20"/>
            </w:pPr>
            <w:r>
              <w:rPr>
                <w:rFonts w:ascii="Aptos" w:hAnsi="Aptos"/>
                <w:b w:val="0"/>
                <w:i w:val="0"/>
                <w:sz w:val="22"/>
              </w:rPr>
              <w:t>Ich bin neu hier. T2-Berufe.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4.</w:t>
            </w:r>
          </w:p>
        </w:tc>
        <w:tc>
          <w:tcPr>
            <w:tcW w:type="dxa" w:w="3324"/>
          </w:tcPr>
          <w:p>
            <w:pPr>
              <w:spacing w:before="20" w:after="20"/>
            </w:pPr>
            <w:r>
              <w:rPr>
                <w:rFonts w:ascii="Aptos" w:hAnsi="Aptos"/>
                <w:b w:val="0"/>
                <w:i w:val="0"/>
                <w:sz w:val="22"/>
              </w:rPr>
              <w:t>Wiederholung, Test 1. T2- Wie ist deine Telefonnummer? – Zahlen.</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5.</w:t>
            </w:r>
          </w:p>
        </w:tc>
        <w:tc>
          <w:tcPr>
            <w:tcW w:type="dxa" w:w="3324"/>
          </w:tcPr>
          <w:p>
            <w:pPr>
              <w:spacing w:before="20" w:after="20"/>
            </w:pPr>
            <w:r>
              <w:rPr>
                <w:rFonts w:ascii="Aptos" w:hAnsi="Aptos"/>
                <w:b w:val="0"/>
                <w:i w:val="0"/>
                <w:sz w:val="22"/>
              </w:rPr>
              <w:t>Heimatorte- Deutschland. T2: Orte und Dinge.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6.</w:t>
            </w:r>
          </w:p>
        </w:tc>
        <w:tc>
          <w:tcPr>
            <w:tcW w:type="dxa" w:w="3324"/>
          </w:tcPr>
          <w:p>
            <w:pPr>
              <w:spacing w:before="20" w:after="20"/>
            </w:pPr>
            <w:r>
              <w:rPr>
                <w:rFonts w:ascii="Aptos" w:hAnsi="Aptos"/>
                <w:b w:val="0"/>
                <w:i w:val="0"/>
                <w:sz w:val="22"/>
              </w:rPr>
              <w:t>Wiederholung (sich vorstellen, Berufe); was kostet das?</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7.</w:t>
            </w:r>
          </w:p>
        </w:tc>
        <w:tc>
          <w:tcPr>
            <w:tcW w:type="dxa" w:w="3324"/>
          </w:tcPr>
          <w:p>
            <w:pPr>
              <w:spacing w:before="20" w:after="20"/>
            </w:pPr>
            <w:r>
              <w:rPr>
                <w:rFonts w:ascii="Aptos" w:hAnsi="Aptos"/>
                <w:b w:val="0"/>
                <w:i w:val="0"/>
                <w:sz w:val="22"/>
              </w:rPr>
              <w:t>Meine Familie. ; Ostern in Deutschland.</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8.</w:t>
            </w:r>
          </w:p>
        </w:tc>
        <w:tc>
          <w:tcPr>
            <w:tcW w:type="dxa" w:w="3324"/>
          </w:tcPr>
          <w:p>
            <w:pPr>
              <w:spacing w:before="20" w:after="20"/>
            </w:pPr>
            <w:r>
              <w:rPr>
                <w:rFonts w:ascii="Aptos" w:hAnsi="Aptos"/>
                <w:b w:val="0"/>
                <w:i w:val="0"/>
                <w:sz w:val="22"/>
              </w:rPr>
              <w:t>Zaliczenie. Meine Familie- Wiederholung des Wortschatzes.</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9.</w:t>
            </w:r>
          </w:p>
        </w:tc>
        <w:tc>
          <w:tcPr>
            <w:tcW w:type="dxa" w:w="3324"/>
          </w:tcPr>
          <w:p>
            <w:pPr>
              <w:spacing w:before="20" w:after="20"/>
            </w:pPr>
            <w:r>
              <w:rPr>
                <w:rFonts w:ascii="Aptos" w:hAnsi="Aptos"/>
                <w:b w:val="0"/>
                <w:i w:val="0"/>
                <w:sz w:val="22"/>
              </w:rPr>
              <w:t>Das ist meine Familie. T2: Ich möchte….- Modalverb</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10.</w:t>
            </w:r>
          </w:p>
        </w:tc>
        <w:tc>
          <w:tcPr>
            <w:tcW w:type="dxa" w:w="3324"/>
          </w:tcPr>
          <w:p>
            <w:pPr>
              <w:spacing w:before="20" w:after="20"/>
            </w:pPr>
            <w:r>
              <w:rPr>
                <w:rFonts w:ascii="Aptos" w:hAnsi="Aptos"/>
                <w:b w:val="0"/>
                <w:i w:val="0"/>
                <w:sz w:val="22"/>
              </w:rPr>
              <w:t>Wiederholung: Ich und meine Familie. T: Verkehrsmittel- Wortschatz</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11.</w:t>
            </w:r>
          </w:p>
        </w:tc>
        <w:tc>
          <w:tcPr>
            <w:tcW w:type="dxa" w:w="3324"/>
          </w:tcPr>
          <w:p>
            <w:pPr>
              <w:spacing w:before="20" w:after="20"/>
            </w:pPr>
            <w:r>
              <w:rPr>
                <w:rFonts w:ascii="Aptos" w:hAnsi="Aptos"/>
                <w:b w:val="0"/>
                <w:i w:val="0"/>
                <w:sz w:val="22"/>
              </w:rPr>
              <w:t>Zaliczenie. Unregelmässige Verben. Meine Hobbys.</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12.</w:t>
            </w:r>
          </w:p>
        </w:tc>
        <w:tc>
          <w:tcPr>
            <w:tcW w:type="dxa" w:w="3324"/>
          </w:tcPr>
          <w:p>
            <w:pPr>
              <w:spacing w:before="20" w:after="20"/>
            </w:pPr>
            <w:r>
              <w:rPr>
                <w:rFonts w:ascii="Aptos" w:hAnsi="Aptos"/>
                <w:b w:val="0"/>
                <w:i w:val="0"/>
                <w:sz w:val="22"/>
              </w:rPr>
              <w:t>Trennbare Verben. T2: Mein Alltag</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13.</w:t>
            </w:r>
          </w:p>
        </w:tc>
        <w:tc>
          <w:tcPr>
            <w:tcW w:type="dxa" w:w="3324"/>
          </w:tcPr>
          <w:p>
            <w:pPr>
              <w:spacing w:before="20" w:after="20"/>
            </w:pPr>
            <w:r>
              <w:rPr>
                <w:rFonts w:ascii="Aptos" w:hAnsi="Aptos"/>
                <w:b w:val="0"/>
                <w:i w:val="0"/>
                <w:sz w:val="22"/>
              </w:rPr>
              <w:t>Zaliczenie ( czasowniki nieregularne). T2: Mein Alltag.</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14.</w:t>
            </w:r>
          </w:p>
        </w:tc>
        <w:tc>
          <w:tcPr>
            <w:tcW w:type="dxa" w:w="3324"/>
          </w:tcPr>
          <w:p>
            <w:pPr>
              <w:spacing w:before="20" w:after="20"/>
            </w:pPr>
            <w:r>
              <w:rPr>
                <w:rFonts w:ascii="Aptos" w:hAnsi="Aptos"/>
                <w:b w:val="0"/>
                <w:i w:val="0"/>
                <w:sz w:val="22"/>
              </w:rPr>
              <w:t>Wiederholung des Stoffes. T2: Essen- Wortschatz</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15.</w:t>
            </w:r>
          </w:p>
        </w:tc>
        <w:tc>
          <w:tcPr>
            <w:tcW w:type="dxa" w:w="3324"/>
          </w:tcPr>
          <w:p>
            <w:pPr>
              <w:spacing w:before="20" w:after="20"/>
            </w:pPr>
            <w:r>
              <w:rPr>
                <w:rFonts w:ascii="Aptos" w:hAnsi="Aptos"/>
                <w:b w:val="0"/>
                <w:i w:val="0"/>
                <w:sz w:val="22"/>
              </w:rPr>
              <w:t>Was isst gerne? T2: Ich hätte gern- Dialoge im Laden und im Restaurant.</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DaF Kompakt neu B1 - Birgit Braun, Margit, Doubek, Wydawnictwo Klett</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Nowe repetytorium z gramatyki języka niemieckiego, Stanisław Bęza, Wydawnictwo PWN 2023</w:t>
            </w:r>
          </w:p>
          <w:p>
            <w:pPr>
              <w:spacing w:before="20" w:after="20"/>
            </w:pPr>
            <w:r>
              <w:rPr>
                <w:rFonts w:ascii="Aptos" w:hAnsi="Aptos"/>
                <w:sz w:val="22"/>
              </w:rPr>
              <w:t>2. Welttour Deutsch, Sylwia Mróz-Dwornikowska, Wydawnictwo Nowa Era, 2020</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konstruować proste wypowiedzi pisemne i ustne w języku niemieckim z wykorzystaniem opracowań dydaktycznych zgodnie z zasadami przewidzianymi dla danej formy</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posługiwać się językiem niemieckim w mowie i piśmie na poziomie podstawowym.</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permanentnego doskonalenia kompetencji językowych w celach zawodowych</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ciągłego samokształcenia własnych kompetencji językowych oraz dostrzega potrzebę podejmowania inicjatyw w dziedzinach biznesowych.</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