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118</w:t>
            </w:r>
          </w:p>
        </w:tc>
        <w:tc>
          <w:tcPr>
            <w:tcW w:type="dxa" w:w="3324"/>
          </w:tcPr>
          <w:p>
            <w:pPr>
              <w:spacing w:before="20" w:after="20"/>
            </w:pPr>
            <w:r>
              <w:rPr>
                <w:rFonts w:ascii="Aptos" w:hAnsi="Aptos"/>
                <w:b w:val="0"/>
                <w:i w:val="0"/>
                <w:sz w:val="22"/>
              </w:rPr>
              <w:t>4.7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Kryteria oceny</w:t>
            </w:r>
          </w:p>
          <w:p>
            <w:pPr>
              <w:spacing w:before="20" w:after="20"/>
            </w:pPr>
            <w:r>
              <w:rPr>
                <w:rFonts w:ascii="Aptos" w:hAnsi="Aptos"/>
                <w:sz w:val="22"/>
              </w:rPr>
              <w:t>2. prezentacja projektu i dokumentacji (60%)</w:t>
            </w:r>
          </w:p>
          <w:p>
            <w:pPr>
              <w:spacing w:before="20" w:after="20"/>
            </w:pPr>
            <w:r>
              <w:rPr>
                <w:rFonts w:ascii="Aptos" w:hAnsi="Aptos"/>
                <w:sz w:val="22"/>
              </w:rPr>
              <w:t>3. aktywność na zajęciach (10%)</w:t>
            </w:r>
          </w:p>
          <w:p>
            <w:pPr>
              <w:spacing w:before="20" w:after="20"/>
            </w:pPr>
            <w:r>
              <w:rPr>
                <w:rFonts w:ascii="Aptos" w:hAnsi="Aptos"/>
                <w:sz w:val="22"/>
              </w:rPr>
              <w:t>4. kolokwium końcowe (30%)</w:t>
            </w:r>
          </w:p>
        </w:tc>
        <w:tc>
          <w:tcPr>
            <w:tcW w:type="dxa" w:w="4986"/>
          </w:tcPr>
          <w:p>
            <w:pPr>
              <w:spacing w:before="20" w:after="20"/>
            </w:pPr>
            <w:r>
              <w:rPr>
                <w:rFonts w:ascii="Aptos" w:hAnsi="Aptos"/>
                <w:sz w:val="22"/>
              </w:rPr>
              <w:t>1. Kryteria oceny</w:t>
            </w:r>
          </w:p>
          <w:p>
            <w:pPr>
              <w:spacing w:before="20" w:after="20"/>
            </w:pPr>
            <w:r>
              <w:rPr>
                <w:rFonts w:ascii="Aptos" w:hAnsi="Aptos"/>
                <w:sz w:val="22"/>
              </w:rPr>
              <w:t>2. prezentacja projektu i dokumentacji (60%)</w:t>
            </w:r>
          </w:p>
          <w:p>
            <w:pPr>
              <w:spacing w:before="20" w:after="20"/>
            </w:pPr>
            <w:r>
              <w:rPr>
                <w:rFonts w:ascii="Aptos" w:hAnsi="Aptos"/>
                <w:sz w:val="22"/>
              </w:rPr>
              <w:t>3. aktywność na zajęciach (10%)</w:t>
            </w:r>
          </w:p>
          <w:p>
            <w:pPr>
              <w:spacing w:before="20" w:after="20"/>
            </w:pPr>
            <w:r>
              <w:rPr>
                <w:rFonts w:ascii="Aptos" w:hAnsi="Aptos"/>
                <w:sz w:val="22"/>
              </w:rPr>
              <w:t>4. kolokwium końcowe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 w Javie</w:t>
            </w:r>
          </w:p>
        </w:tc>
        <w:tc>
          <w:tcPr>
            <w:tcW w:type="dxa" w:w="4986"/>
          </w:tcPr>
          <w:p>
            <w:pPr>
              <w:spacing w:before="20" w:after="20"/>
            </w:pPr>
            <w:r>
              <w:rPr>
                <w:rFonts w:ascii="Aptos" w:hAnsi="Aptos"/>
                <w:b w:val="0"/>
                <w:i w:val="0"/>
                <w:sz w:val="22"/>
              </w:rPr>
              <w:t>Relacyjne bazy danych</w:t>
            </w:r>
          </w:p>
        </w:tc>
      </w:tr>
      <w:tr>
        <w:tc>
          <w:tcPr>
            <w:tcW w:type="dxa" w:w="4986"/>
          </w:tcPr>
          <w:p>
            <w:pPr>
              <w:spacing w:before="20" w:after="20"/>
            </w:pPr>
            <w:r>
              <w:rPr>
                <w:rFonts w:ascii="Aptos" w:hAnsi="Aptos"/>
                <w:b w:val="0"/>
                <w:i w:val="0"/>
                <w:sz w:val="22"/>
              </w:rPr>
              <w:t>Podstawowe umiejętności w zakresie programowania obiektowego</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Ogólna znajomość problematyki relacyjnych baz danych</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Pojęcia i metody inżynierii oprogramowania. Cykl życia produktu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Faza przedprojektowa i planowanie projektu; Dokument Założeń Wstępnych (DZW)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Praktyczne przykłady konstrukcji SWS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Cechy narządzi CASE.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Model przypadków użycia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Praktyka modelowania i specyfikacji przypadków użycia. Techniki specyfikacji scenariuszy przypadków użycia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Modelowanie dynamiki systemu w języku UML – wprowadzenie. Techniki modelowania interakcji w systemie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Diagramy sekwencji UML jako uniwersalna technika modelowania interakcji pomiędzy składowymi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Alternatywne techniki modelowania interakcje na przykładzie diagramu komunikacji. Wstęp do transformacji w narzędziu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Specyfikowanie przypadków użycia z wykorzystaniem diagramów czynności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Zaawansowane przykłady modelowania diagramu klas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Diagramy maszyny stanowej jako technika zarządzania złożonością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