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2Wykorzystanie driverów i motorów do sterowania więzami sztywnymi i łamalnymiĆwiczenia z burzenia budynków.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3Symulacje Soft-BodyBryły elastyczne o różnej sztywności, bryły odkształcające się po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4Zaawansowane ustawienia symulacji soft-bodyTworzenie kolizji samochodów.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5Symulacje ClothSymulowanie odzieży - skórzanej, gumowej, jedwabnej, dżinsowej i innej. Kolizje wewnętrzne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6Symulowanie odzieży na modelu ludzkim.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Od prostych ćwiczeń takich jak flaga do ubrania ludzi.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7Symulacje cząsteczkoweSymulowanie w modelach Newtonian, Boids, Fluid i Keyed. Animacje cząsteczkowe.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8Tworzenie animacji napisów i elementów graficznych z cząstek.Animacja wybuchających sztucznych ogni.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10Tworzenie trawnika lub pola zboża.Animacja trawy lub kłosów zboża w wielkiej skali.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12Symulacje cieczy ze zmienną gęstością.Efekt kropli wpadającej do wody.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13Symulacje dymu, ognia, wybuchy.Wysadzanie modelu uczelni lub inne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14Zaawansowane przypadki symulacji ognia i dymy.Ćwiczenie spalania kartki papieru.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