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SITA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c>
          <w:tcPr>
            <w:tcW w:type="dxa" w:w="4986"/>
          </w:tcPr>
          <w:p>
            <w:pPr>
              <w:spacing w:before="20" w:after="20"/>
            </w:pPr>
            <w:r>
              <w:rPr>
                <w:rFonts w:ascii="Aptos" w:hAnsi="Aptos"/>
                <w:sz w:val="22"/>
              </w:rPr>
              <w:t>1. Studium przypadków</w:t>
            </w:r>
          </w:p>
          <w:p>
            <w:pPr>
              <w:spacing w:before="20" w:after="20"/>
            </w:pPr>
            <w:r>
              <w:rPr>
                <w:rFonts w:ascii="Aptos" w:hAnsi="Aptos"/>
                <w:sz w:val="22"/>
              </w:rPr>
              <w:t>2. Kryteria oceny</w:t>
            </w:r>
          </w:p>
          <w:p>
            <w:pPr>
              <w:spacing w:before="20" w:after="20"/>
            </w:pPr>
            <w:r>
              <w:rPr>
                <w:rFonts w:ascii="Aptos" w:hAnsi="Aptos"/>
                <w:sz w:val="22"/>
              </w:rPr>
              <w:t>3. Kolokwium pisemne.</w:t>
            </w:r>
          </w:p>
          <w:p>
            <w:pPr>
              <w:spacing w:before="20" w:after="20"/>
            </w:pPr>
            <w:r>
              <w:rPr>
                <w:rFonts w:ascii="Aptos" w:hAnsi="Aptos"/>
                <w:sz w:val="22"/>
              </w:rPr>
              <w:t>4. Skala ocen:</w:t>
            </w:r>
          </w:p>
          <w:p>
            <w:pPr>
              <w:spacing w:before="20" w:after="20"/>
            </w:pPr>
            <w:r>
              <w:rPr>
                <w:rFonts w:ascii="Aptos" w:hAnsi="Aptos"/>
                <w:sz w:val="22"/>
              </w:rPr>
              <w:t>5. Poniżej 50% - ndst</w:t>
            </w:r>
          </w:p>
          <w:p>
            <w:pPr>
              <w:spacing w:before="20" w:after="20"/>
            </w:pPr>
            <w:r>
              <w:rPr>
                <w:rFonts w:ascii="Aptos" w:hAnsi="Aptos"/>
                <w:sz w:val="22"/>
              </w:rPr>
              <w:t>6. Od 50% - dst</w:t>
            </w:r>
          </w:p>
          <w:p>
            <w:pPr>
              <w:spacing w:before="20" w:after="20"/>
            </w:pPr>
            <w:r>
              <w:rPr>
                <w:rFonts w:ascii="Aptos" w:hAnsi="Aptos"/>
                <w:sz w:val="22"/>
              </w:rPr>
              <w:t>7. Od 60% - dst+</w:t>
            </w:r>
          </w:p>
          <w:p>
            <w:pPr>
              <w:spacing w:before="20" w:after="20"/>
            </w:pPr>
            <w:r>
              <w:rPr>
                <w:rFonts w:ascii="Aptos" w:hAnsi="Aptos"/>
                <w:sz w:val="22"/>
              </w:rPr>
              <w:t>8. Od 70% - db</w:t>
            </w:r>
          </w:p>
          <w:p>
            <w:pPr>
              <w:spacing w:before="20" w:after="20"/>
            </w:pPr>
            <w:r>
              <w:rPr>
                <w:rFonts w:ascii="Aptos" w:hAnsi="Aptos"/>
                <w:sz w:val="22"/>
              </w:rPr>
              <w:t>9. Od 80% - db+</w:t>
            </w:r>
          </w:p>
          <w:p>
            <w:pPr>
              <w:spacing w:before="20" w:after="20"/>
            </w:pPr>
            <w:r>
              <w:rPr>
                <w:rFonts w:ascii="Aptos" w:hAnsi="Aptos"/>
                <w:sz w:val="22"/>
              </w:rPr>
              <w:t>10. Od 90% - bdb</w:t>
            </w:r>
          </w:p>
          <w:p>
            <w:pPr>
              <w:spacing w:before="20" w:after="20"/>
            </w:pPr>
            <w:r>
              <w:rPr>
                <w:rFonts w:ascii="Aptos" w:hAnsi="Aptos"/>
                <w:sz w:val="22"/>
              </w:rPr>
              <w:t>11. Skala ocen:</w:t>
            </w:r>
          </w:p>
          <w:p>
            <w:pPr>
              <w:spacing w:before="20" w:after="20"/>
            </w:pPr>
            <w:r>
              <w:rPr>
                <w:rFonts w:ascii="Aptos" w:hAnsi="Aptos"/>
                <w:sz w:val="22"/>
              </w:rPr>
              <w:t>12. Poniżej 50% - ndst</w:t>
            </w:r>
          </w:p>
          <w:p>
            <w:pPr>
              <w:spacing w:before="20" w:after="20"/>
            </w:pPr>
            <w:r>
              <w:rPr>
                <w:rFonts w:ascii="Aptos" w:hAnsi="Aptos"/>
                <w:sz w:val="22"/>
              </w:rPr>
              <w:t>13. Od 50% - dst</w:t>
            </w:r>
          </w:p>
          <w:p>
            <w:pPr>
              <w:spacing w:before="20" w:after="20"/>
            </w:pPr>
            <w:r>
              <w:rPr>
                <w:rFonts w:ascii="Aptos" w:hAnsi="Aptos"/>
                <w:sz w:val="22"/>
              </w:rPr>
              <w:t>14. Od 60% - dst+</w:t>
            </w:r>
          </w:p>
          <w:p>
            <w:pPr>
              <w:spacing w:before="20" w:after="20"/>
            </w:pPr>
            <w:r>
              <w:rPr>
                <w:rFonts w:ascii="Aptos" w:hAnsi="Aptos"/>
                <w:sz w:val="22"/>
              </w:rPr>
              <w:t>15. Od 70% - db</w:t>
            </w:r>
          </w:p>
          <w:p>
            <w:pPr>
              <w:spacing w:before="20" w:after="20"/>
            </w:pPr>
            <w:r>
              <w:rPr>
                <w:rFonts w:ascii="Aptos" w:hAnsi="Aptos"/>
                <w:sz w:val="22"/>
              </w:rPr>
              <w:t>16. Od 80% - db+</w:t>
            </w:r>
          </w:p>
          <w:p>
            <w:pPr>
              <w:spacing w:before="20" w:after="20"/>
            </w:pPr>
            <w:r>
              <w:rPr>
                <w:rFonts w:ascii="Aptos" w:hAnsi="Aptos"/>
                <w:sz w:val="22"/>
              </w:rPr>
              <w:t>17. Od 90% - bdb</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kursmanaceludostarczeniestudentomkompleksowejwiedzyiumiejętnościniezbędnychdoprojektowaniaiutrzymaniabezpiecznychsystemówinformatycznych.Dziękipołączeniuteoretycznychwykładówipraktycznychćwiczeń,studencibędąlepiejprzygotowanidostawieniaczoławyzwaniomzwiązanymzbezpieczeństwemITw rzeczywistym świecie. Studencibędąpoznawaćpodstawowepojęciaizasadybezpieczeństwainformatycznego,takiejakpoufność,integralność idostępność danych. Nauczą się,jakprojektowaćsystemyi infrastruktury informatyczne, które są odporne na różnorodne zagrożenia i ataki. Celem kursu będzie również zrozumienie mechanizmów zarządzania tożsamością i kontrolądostępu,wtymwdrażaniepolitykzabezpieczeń. Kurs obejmuje techniki i najlepsze praktyki bezpiecznego programowania, aby zapobiegać wprowadzaniu luk bezpieczeństwa w fazie rozwoju oprogramowania. Studencibędąuczyćsię,jakreagowaćnaincydentybezpieczeństwa,wtymjakprzeprowadzać analizy i raportować naruszenia.</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 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 The course covers secure programming techniques and best practices that help prevent vulnerabilities from being introduced already at the software development stage. Students also learn how to respond to security incidents, including conducting incident analysis and reporting breaches.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 Wybór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Analiza różnych typów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Przykłady typowych struktur organizacyjnych.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2. Definicja celów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Jak określić cele biznesowe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Rola celów biznesowych w projektowaniu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Ćwiczenia praktyczne: Definiowanie celów biznesowych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3. Utworzenie diagramu przepływów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Wprowadzenie do diagramów przepływów danych (DFD).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Tworzenie DFD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Ćwiczenia praktyczne: Rysowanie DFD na podstawie zebranych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4. Procesowy opis organizacji wg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Wprowadzenie do standardu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Opis procesów organizacyjnych zgodnie z ISO 9001.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Ćwiczenia praktyczne: Tworzenie procesowego opisu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5. Utworzenie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Zasady projektowania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Elementy składowe architektury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Ćwiczenia praktyczne: Projektowanie architektury IT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6. Koncepcja komunikacji, sprzętu oraz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Planowanie komunikacji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Wybór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Ćwiczenia praktyczne: Opracowanie koncepcji komunikacji, sprzętu 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7. Klasyfikacja informacji, struktura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Klasyfikacja informacji 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Tworzenie struktury zarządzania informacją.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Ćwiczenia praktyczne: Klasyfikacja informacji i tworzenie struktury zarządzania.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8. Identyfikacja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Identyfikacja i katalogowanie zasobów.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Zarządzanie zasobami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31.</w:t>
            </w:r>
          </w:p>
        </w:tc>
        <w:tc>
          <w:tcPr>
            <w:tcW w:type="dxa" w:w="3324"/>
          </w:tcPr>
          <w:p>
            <w:pPr>
              <w:spacing w:before="20" w:after="20"/>
            </w:pPr>
            <w:r>
              <w:rPr>
                <w:rFonts w:ascii="Aptos" w:hAnsi="Aptos"/>
                <w:b w:val="0"/>
                <w:i w:val="0"/>
                <w:sz w:val="22"/>
              </w:rPr>
              <w:t>Ćwiczenia praktyczne: Tworzenie katalogu zasobów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9. Utworzenie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33.</w:t>
            </w:r>
          </w:p>
        </w:tc>
        <w:tc>
          <w:tcPr>
            <w:tcW w:type="dxa" w:w="3324"/>
          </w:tcPr>
          <w:p>
            <w:pPr>
              <w:spacing w:before="20" w:after="20"/>
            </w:pPr>
            <w:r>
              <w:rPr>
                <w:rFonts w:ascii="Aptos" w:hAnsi="Aptos"/>
                <w:b w:val="0"/>
                <w:i w:val="0"/>
                <w:sz w:val="22"/>
              </w:rPr>
              <w:t>Definicja i znaczenie deklaracji stosowania.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Tworzenie deklaracji dla wybranej organizacji.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35.</w:t>
            </w:r>
          </w:p>
        </w:tc>
        <w:tc>
          <w:tcPr>
            <w:tcW w:type="dxa" w:w="3324"/>
          </w:tcPr>
          <w:p>
            <w:pPr>
              <w:spacing w:before="20" w:after="20"/>
            </w:pPr>
            <w:r>
              <w:rPr>
                <w:rFonts w:ascii="Aptos" w:hAnsi="Aptos"/>
                <w:b w:val="0"/>
                <w:i w:val="0"/>
                <w:sz w:val="22"/>
              </w:rPr>
              <w:t>10. Identyfikacja zagrożeń dla architektury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36.</w:t>
            </w:r>
          </w:p>
        </w:tc>
        <w:tc>
          <w:tcPr>
            <w:tcW w:type="dxa" w:w="3324"/>
          </w:tcPr>
          <w:p>
            <w:pPr>
              <w:spacing w:before="20" w:after="20"/>
            </w:pPr>
            <w:r>
              <w:rPr>
                <w:rFonts w:ascii="Aptos" w:hAnsi="Aptos"/>
                <w:b w:val="0"/>
                <w:i w:val="0"/>
                <w:sz w:val="22"/>
              </w:rPr>
              <w:t>Typowe zagrożenia dla architektur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37.</w:t>
            </w:r>
          </w:p>
        </w:tc>
        <w:tc>
          <w:tcPr>
            <w:tcW w:type="dxa" w:w="3324"/>
          </w:tcPr>
          <w:p>
            <w:pPr>
              <w:spacing w:before="20" w:after="20"/>
            </w:pPr>
            <w:r>
              <w:rPr>
                <w:rFonts w:ascii="Aptos" w:hAnsi="Aptos"/>
                <w:b w:val="0"/>
                <w:i w:val="0"/>
                <w:sz w:val="22"/>
              </w:rPr>
              <w:t>Metody identyfikacji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38.</w:t>
            </w:r>
          </w:p>
        </w:tc>
        <w:tc>
          <w:tcPr>
            <w:tcW w:type="dxa" w:w="3324"/>
          </w:tcPr>
          <w:p>
            <w:pPr>
              <w:spacing w:before="20" w:after="20"/>
            </w:pPr>
            <w:r>
              <w:rPr>
                <w:rFonts w:ascii="Aptos" w:hAnsi="Aptos"/>
                <w:b w:val="0"/>
                <w:i w:val="0"/>
                <w:sz w:val="22"/>
              </w:rPr>
              <w:t>Ćwiczenia praktyczne: Analiza przypadków i identyfikacja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39.</w:t>
            </w:r>
          </w:p>
        </w:tc>
        <w:tc>
          <w:tcPr>
            <w:tcW w:type="dxa" w:w="3324"/>
          </w:tcPr>
          <w:p>
            <w:pPr>
              <w:spacing w:before="20" w:after="20"/>
            </w:pPr>
            <w:r>
              <w:rPr>
                <w:rFonts w:ascii="Aptos" w:hAnsi="Aptos"/>
                <w:b w:val="0"/>
                <w:i w:val="0"/>
                <w:sz w:val="22"/>
              </w:rPr>
              <w:t>11. Identyfikacja podatności dla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40.</w:t>
            </w:r>
          </w:p>
        </w:tc>
        <w:tc>
          <w:tcPr>
            <w:tcW w:type="dxa" w:w="3324"/>
          </w:tcPr>
          <w:p>
            <w:pPr>
              <w:spacing w:before="20" w:after="20"/>
            </w:pPr>
            <w:r>
              <w:rPr>
                <w:rFonts w:ascii="Aptos" w:hAnsi="Aptos"/>
                <w:b w:val="0"/>
                <w:i w:val="0"/>
                <w:sz w:val="22"/>
              </w:rPr>
              <w:t>Definicja podatności.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41.</w:t>
            </w:r>
          </w:p>
        </w:tc>
        <w:tc>
          <w:tcPr>
            <w:tcW w:type="dxa" w:w="3324"/>
          </w:tcPr>
          <w:p>
            <w:pPr>
              <w:spacing w:before="20" w:after="20"/>
            </w:pPr>
            <w:r>
              <w:rPr>
                <w:rFonts w:ascii="Aptos" w:hAnsi="Aptos"/>
                <w:b w:val="0"/>
                <w:i w:val="0"/>
                <w:sz w:val="22"/>
              </w:rPr>
              <w:t>Metody identyfikacji podatności w systemach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42.</w:t>
            </w:r>
          </w:p>
        </w:tc>
        <w:tc>
          <w:tcPr>
            <w:tcW w:type="dxa" w:w="3324"/>
          </w:tcPr>
          <w:p>
            <w:pPr>
              <w:spacing w:before="20" w:after="20"/>
            </w:pPr>
            <w:r>
              <w:rPr>
                <w:rFonts w:ascii="Aptos" w:hAnsi="Aptos"/>
                <w:b w:val="0"/>
                <w:i w:val="0"/>
                <w:sz w:val="22"/>
              </w:rPr>
              <w:t>Ćwiczenia praktyczne: Identyfikacja podatności w wybranej architekturze IT.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43.</w:t>
            </w:r>
          </w:p>
        </w:tc>
        <w:tc>
          <w:tcPr>
            <w:tcW w:type="dxa" w:w="3324"/>
          </w:tcPr>
          <w:p>
            <w:pPr>
              <w:spacing w:before="20" w:after="20"/>
            </w:pPr>
            <w:r>
              <w:rPr>
                <w:rFonts w:ascii="Aptos" w:hAnsi="Aptos"/>
                <w:b w:val="0"/>
                <w:i w:val="0"/>
                <w:sz w:val="22"/>
              </w:rPr>
              <w:t>12. Szacowanie ryzyka dla wyodrębnionych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44.</w:t>
            </w:r>
          </w:p>
        </w:tc>
        <w:tc>
          <w:tcPr>
            <w:tcW w:type="dxa" w:w="3324"/>
          </w:tcPr>
          <w:p>
            <w:pPr>
              <w:spacing w:before="20" w:after="20"/>
            </w:pPr>
            <w:r>
              <w:rPr>
                <w:rFonts w:ascii="Aptos" w:hAnsi="Aptos"/>
                <w:b w:val="0"/>
                <w:i w:val="0"/>
                <w:sz w:val="22"/>
              </w:rPr>
              <w:t>Metody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45.</w:t>
            </w:r>
          </w:p>
        </w:tc>
        <w:tc>
          <w:tcPr>
            <w:tcW w:type="dxa" w:w="3324"/>
          </w:tcPr>
          <w:p>
            <w:pPr>
              <w:spacing w:before="20" w:after="20"/>
            </w:pPr>
            <w:r>
              <w:rPr>
                <w:rFonts w:ascii="Aptos" w:hAnsi="Aptos"/>
                <w:b w:val="0"/>
                <w:i w:val="0"/>
                <w:sz w:val="22"/>
              </w:rPr>
              <w:t>Przykłady zastosowania metod szacowania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46.</w:t>
            </w:r>
          </w:p>
        </w:tc>
        <w:tc>
          <w:tcPr>
            <w:tcW w:type="dxa" w:w="3324"/>
          </w:tcPr>
          <w:p>
            <w:pPr>
              <w:spacing w:before="20" w:after="20"/>
            </w:pPr>
            <w:r>
              <w:rPr>
                <w:rFonts w:ascii="Aptos" w:hAnsi="Aptos"/>
                <w:b w:val="0"/>
                <w:i w:val="0"/>
                <w:sz w:val="22"/>
              </w:rPr>
              <w:t>Ćwiczenia praktyczne: Szacowanie ryzyka dla wybranych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47.</w:t>
            </w:r>
          </w:p>
        </w:tc>
        <w:tc>
          <w:tcPr>
            <w:tcW w:type="dxa" w:w="3324"/>
          </w:tcPr>
          <w:p>
            <w:pPr>
              <w:spacing w:before="20" w:after="20"/>
            </w:pPr>
            <w:r>
              <w:rPr>
                <w:rFonts w:ascii="Aptos" w:hAnsi="Aptos"/>
                <w:b w:val="0"/>
                <w:i w:val="0"/>
                <w:sz w:val="22"/>
              </w:rPr>
              <w:t>13. Tworzenie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Jak tworzyć rekomendacje bezpieczeństwa.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49.</w:t>
            </w:r>
          </w:p>
        </w:tc>
        <w:tc>
          <w:tcPr>
            <w:tcW w:type="dxa" w:w="3324"/>
          </w:tcPr>
          <w:p>
            <w:pPr>
              <w:spacing w:before="20" w:after="20"/>
            </w:pPr>
            <w:r>
              <w:rPr>
                <w:rFonts w:ascii="Aptos" w:hAnsi="Aptos"/>
                <w:b w:val="0"/>
                <w:i w:val="0"/>
                <w:sz w:val="22"/>
              </w:rPr>
              <w:t>Przykłady rekomendacji po analizie ryzyka.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Ćwiczenia praktyczne: Tworzenie rekomendacji dla wybranej architektury IT.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