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c>
          <w:tcPr>
            <w:tcW w:type="dxa" w:w="4986"/>
          </w:tcPr>
          <w:p>
            <w:pPr>
              <w:spacing w:before="20" w:after="20"/>
            </w:pPr>
            <w:r>
              <w:rPr>
                <w:rFonts w:ascii="Aptos" w:hAnsi="Aptos"/>
                <w:sz w:val="22"/>
              </w:rPr>
              <w:t>1. Programowanie na żywo</w:t>
            </w:r>
          </w:p>
          <w:p>
            <w:pPr>
              <w:spacing w:before="20" w:after="20"/>
            </w:pPr>
            <w:r>
              <w:rPr>
                <w:rFonts w:ascii="Aptos" w:hAnsi="Aptos"/>
                <w:sz w:val="22"/>
              </w:rPr>
              <w:t>2. Warsztaty</w:t>
            </w:r>
          </w:p>
          <w:p>
            <w:pPr>
              <w:spacing w:before="20" w:after="20"/>
            </w:pPr>
            <w:r>
              <w:rPr>
                <w:rFonts w:ascii="Aptos" w:hAnsi="Aptos"/>
                <w:sz w:val="22"/>
              </w:rPr>
              <w:t>3. Rozwiązywanie zadań</w:t>
            </w:r>
          </w:p>
          <w:p>
            <w:pPr>
              <w:spacing w:before="20" w:after="20"/>
            </w:pPr>
            <w:r>
              <w:rPr>
                <w:rFonts w:ascii="Aptos" w:hAnsi="Aptos"/>
                <w:sz w:val="22"/>
              </w:rPr>
              <w:t>4. Projekt zespołowy</w:t>
            </w:r>
          </w:p>
          <w:p>
            <w:pPr>
              <w:spacing w:before="20" w:after="20"/>
            </w:pPr>
            <w:r>
              <w:rPr>
                <w:rFonts w:ascii="Aptos" w:hAnsi="Aptos"/>
                <w:sz w:val="22"/>
              </w:rPr>
              <w:t>5. Kryteria oceny</w:t>
            </w:r>
          </w:p>
          <w:p>
            <w:pPr>
              <w:spacing w:before="20" w:after="20"/>
            </w:pPr>
            <w:r>
              <w:rPr>
                <w:rFonts w:ascii="Aptos" w:hAnsi="Aptos"/>
                <w:sz w:val="22"/>
              </w:rPr>
              <w:t>6. Laboratorium: Kolokwium, Ocena projektu;</w:t>
            </w:r>
          </w:p>
          <w:p>
            <w:pPr>
              <w:spacing w:before="20" w:after="20"/>
            </w:pPr>
            <w:r>
              <w:rPr>
                <w:rFonts w:ascii="Aptos" w:hAnsi="Aptos"/>
                <w:sz w:val="22"/>
              </w:rPr>
              <w:t>7. Wykład: Egzamin pisemny</w:t>
            </w:r>
          </w:p>
          <w:p>
            <w:pPr>
              <w:spacing w:before="20" w:after="20"/>
            </w:pPr>
            <w:r>
              <w:rPr>
                <w:rFonts w:ascii="Aptos" w:hAnsi="Aptos"/>
                <w:sz w:val="22"/>
              </w:rPr>
              <w:t>8. Skala ocen dotycząca laboratoriów oraz wykładu:</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