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burza mózgów</w:t>
            </w:r>
          </w:p>
          <w:p>
            <w:pPr>
              <w:spacing w:before="20" w:after="20"/>
            </w:pPr>
            <w:r>
              <w:rPr>
                <w:rFonts w:ascii="Aptos" w:hAnsi="Aptos"/>
                <w:sz w:val="22"/>
              </w:rPr>
              <w:t>3. rozwiązywanie zadań</w:t>
            </w:r>
          </w:p>
          <w:p>
            <w:pPr>
              <w:spacing w:before="20" w:after="20"/>
            </w:pPr>
            <w:r>
              <w:rPr>
                <w:rFonts w:ascii="Aptos" w:hAnsi="Aptos"/>
                <w:sz w:val="22"/>
              </w:rPr>
              <w:t>4. analiza przypadków</w:t>
            </w:r>
          </w:p>
          <w:p>
            <w:pPr>
              <w:spacing w:before="20" w:after="20"/>
            </w:pPr>
            <w:r>
              <w:rPr>
                <w:rFonts w:ascii="Aptos" w:hAnsi="Aptos"/>
                <w:sz w:val="22"/>
              </w:rPr>
              <w:t>5. projekt praktyczny</w:t>
            </w:r>
          </w:p>
          <w:p>
            <w:pPr>
              <w:spacing w:before="20" w:after="20"/>
            </w:pPr>
            <w:r>
              <w:rPr>
                <w:rFonts w:ascii="Aptos" w:hAnsi="Aptos"/>
                <w:sz w:val="22"/>
              </w:rPr>
              <w:t>6. Kryteria oceny</w:t>
            </w:r>
          </w:p>
          <w:p>
            <w:pPr>
              <w:spacing w:before="20" w:after="20"/>
            </w:pPr>
            <w:r>
              <w:rPr>
                <w:rFonts w:ascii="Aptos" w:hAnsi="Aptos"/>
                <w:sz w:val="22"/>
              </w:rPr>
              <w:t>7. 50% Kolokwium pisemne</w:t>
            </w:r>
          </w:p>
          <w:p>
            <w:pPr>
              <w:spacing w:before="20" w:after="20"/>
            </w:pPr>
            <w:r>
              <w:rPr>
                <w:rFonts w:ascii="Aptos" w:hAnsi="Aptos"/>
                <w:sz w:val="22"/>
              </w:rPr>
              <w:t>8. 50% Projekt praktyczny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Warsztaty programistyczne (WPR)</w:t>
            </w:r>
          </w:p>
        </w:tc>
        <w:tc>
          <w:tcPr>
            <w:tcW w:type="dxa" w:w="4986"/>
          </w:tcPr>
          <w:p>
            <w:pPr>
              <w:spacing w:before="20" w:after="20"/>
            </w:pPr>
            <w:r>
              <w:rPr>
                <w:rFonts w:ascii="Aptos" w:hAnsi="Aptos"/>
                <w:b w:val="0"/>
                <w:i w:val="0"/>
                <w:sz w:val="22"/>
              </w:rPr>
              <w:t>Znajomosc HTML, obslugi bazy danych za pomoca jezyka zapytan SQL</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Podstawy projektowania i obslugi baz danych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Przegląd technologii internetowych i ich rola w tworzeniu nowoczesnych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Zasady responsywności stron internetowych i ich implementacja.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Techniki zaawansowanego stylowania CSS oraz organizacja i optymalizacja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Zastosowanie narzędzi do tworzenia układów i stylizacji stron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Wprowadzenie do języka JavaScript: zmienne oraz operatory.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Funkcje i paradygmat programowania funkcyjnego w języku JavaScript.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Programowanie obiektowe w JavaScript oraz manipulacja obiektami.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zdarzeniami w JavaScript oraz modyfikacja struktury DOM.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Asynchroniczne programowanie w JavaScript: podstawy i praktyczne zastosowania.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Zaawansowane techniki programowania w JavaScript: rozprzestrzenianie i destrukturyzacja.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Wprowadzenie do mechanizmów obsługi zdarzeń w aplikacjach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Obsługa komunikacji sieciowej w JavaScript, w tym zapytania HTTP i mechanizmy komunikacji w czasie rzeczywistym.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Podstawy pracy z technologiami serwerowymi oraz budowa aplikacji internetowych.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Wprowadzenie do tworzenia aplikacji internetowych z wykorzystaniem popularnych narzędzi serwerowych.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