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(Netflix, Amazon, Spotify).</w:t>
            </w:r>
          </w:p>
          <w:p>
            <w:pPr>
              <w:spacing w:before="20" w:after="20"/>
            </w:pPr>
            <w:r>
              <w:rPr>
                <w:rFonts w:ascii="Aptos" w:hAnsi="Aptos"/>
                <w:b/>
                <w:sz w:val="22"/>
              </w:rPr>
              <w:t>Laboratorium:</w:t>
            </w:r>
          </w:p>
          <w:p>
            <w:pPr>
              <w:spacing w:before="20" w:after="20"/>
            </w:pPr>
            <w:r>
              <w:rPr>
                <w:rFonts w:ascii="Aptos" w:hAnsi="Aptos"/>
                <w:b w:val="0"/>
                <w:sz w:val="22"/>
              </w:rPr>
              <w:t>• Ćwiczenia praktyczne: projektowanie i implementacja mikroserwisów oraz mikrofrontendów z wykorzystaniem narzędzi branżowych (Docker, Kubernetes, Module Federation, Node.js).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W08. Event Sourcing: przechowywanie stanu jako sekwencji zdarzeń. Zalety i ograniczenia. Integracja z CQRS.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L03. Implementacja mikroserwisu nr 1 (np. serwis produktów) – REST API, walidacja, obsługa błędów, testy jednostkowe (Jest).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L06. Implementacja API Gateway w NGINX lub jako mikroserwis Node.js – routing do serwisów backendu, uwierzytelnianie JWT, rate limiting.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L07. Wzorzec Circuit Breaker z użyciem biblioteki opossum (Node.js). Symulowanie awarii serwisu i testowanie mechanizmów fallback.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L08. Podstawy Webpack Module Federation – konfiguracja hosta i remotu. Pierwszy mikrofrontend wystawiający komponent React/Vue.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L09. Budowa aplikacji Shell – integracja co najmniej dwóch niezależnych modułów mikrofrontendowych. Dynamiczne ładowanie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L10. Routing w aplikacji mikrofrontendowej. Komunikacja między modułami przy użyciu Custom Events i współdzielonego Event Bus.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L14. Przegląd i obrona projektów końcowych – prezentacja architektury, demonstracja działającego systemu, dyskusja decyzji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