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p>
            <w:pPr>
              <w:spacing w:before="20" w:after="20"/>
            </w:pPr>
            <w:r>
              <w:rPr>
                <w:rFonts w:ascii="Aptos" w:hAnsi="Aptos"/>
                <w:b/>
                <w:sz w:val="22"/>
              </w:rPr>
              <w:t>Laboratorium:</w:t>
            </w:r>
          </w:p>
          <w:p>
            <w:pPr>
              <w:spacing w:before="20" w:after="20"/>
            </w:pPr>
            <w:r>
              <w:rPr>
                <w:rFonts w:ascii="Aptos" w:hAnsi="Aptos"/>
                <w:b w:val="0"/>
                <w:sz w:val="22"/>
              </w:rPr>
              <w:t>• Ćwiczenia praktyczne: budowanie, uruchamianie i orkiestracja kontenerów z użyciem Docker, Docker Compose oraz Kubernetes; realizacja projektu końcowego obejmującego pełny cykl konteneryzacji aplikacji webowej.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c>
          <w:tcPr>
            <w:tcW w:type="dxa" w:w="4986"/>
          </w:tcPr>
          <w:p>
            <w:pPr>
              <w:spacing w:before="20" w:after="20"/>
            </w:pPr>
            <w:r>
              <w:rPr>
                <w:rFonts w:ascii="Aptos" w:hAnsi="Aptos"/>
                <w:sz w:val="22"/>
              </w:rPr>
              <w:t>1. Laboratorium – zaliczenie z oceną:</w:t>
            </w:r>
          </w:p>
          <w:p>
            <w:pPr>
              <w:spacing w:before="20" w:after="20"/>
            </w:pPr>
            <w:r>
              <w:rPr>
                <w:rFonts w:ascii="Aptos" w:hAnsi="Aptos"/>
                <w:sz w:val="22"/>
              </w:rPr>
              <w:t>2. Ocena ciągła na podstawie sprawozdań z zajęć laboratoryjnych (40% oceny końcowej laboratorium).</w:t>
            </w:r>
          </w:p>
          <w:p>
            <w:pPr>
              <w:spacing w:before="20" w:after="20"/>
            </w:pPr>
            <w:r>
              <w:rPr>
                <w:rFonts w:ascii="Aptos" w:hAnsi="Aptos"/>
                <w:sz w:val="22"/>
              </w:rPr>
              <w:t>3. Projekt końcowy: skonteneryzowanie wielokomponentowej aplikacji webowej (frontend, backend, baza danych) z użyciem Docker Compose oraz wdrożenie jej na lokalny klaster Kubernetes z konfiguracją Ingress i zmiennymi środowiskowymi (60% oceny końcowej laboratorium).</w:t>
            </w:r>
          </w:p>
          <w:p>
            <w:pPr>
              <w:spacing w:before="20" w:after="20"/>
            </w:pPr>
            <w:r>
              <w:rPr>
                <w:rFonts w:ascii="Aptos" w:hAnsi="Aptos"/>
                <w:sz w:val="22"/>
              </w:rPr>
              <w:t>4. Warunkiem zaliczenia laboratorium jest oddanie wszystkich sprawozdań oraz obrona projektu końcowego.</w:t>
            </w:r>
          </w:p>
          <w:p>
            <w:pPr>
              <w:spacing w:before="20" w:after="20"/>
            </w:pPr>
            <w:r>
              <w:rPr>
                <w:rFonts w:ascii="Aptos" w:hAnsi="Aptos"/>
                <w:sz w:val="22"/>
              </w:rPr>
              <w:t>5.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Zaawansowane Docker Compose: profile, rozszerzenia YAML (anchors), override files, skalowanie usług. Środowiska developerskie vs.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obiekty Kubernetes: Pod, ReplicaSet, Deployment. Manifesty YAML. Kubectl: get, describe, apply, delete, logs, exec. Namespaces.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Persystencja w Kubernetes: PersistentVolume (PV), PersistentVolumeClaim (PVC), StorageClass. StatefulSet vs. Deployment dla aplikacji stanowych.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