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c>
          <w:tcPr>
            <w:tcW w:type="dxa" w:w="4986"/>
          </w:tcPr>
          <w:p>
            <w:pPr>
              <w:spacing w:before="20" w:after="20"/>
            </w:pPr>
            <w:r>
              <w:rPr>
                <w:rFonts w:ascii="Aptos" w:hAnsi="Aptos"/>
                <w:sz w:val="22"/>
              </w:rPr>
              <w:t>1. Wykład problemowy, poświęcony analizie kolejnych zagadnień omawianych w ramach przedmiotu</w:t>
            </w:r>
          </w:p>
          <w:p>
            <w:pPr>
              <w:spacing w:before="20" w:after="20"/>
            </w:pPr>
            <w:r>
              <w:rPr>
                <w:rFonts w:ascii="Aptos" w:hAnsi="Aptos"/>
                <w:sz w:val="22"/>
              </w:rPr>
              <w:t>2. Ćwiczenia rozszerzone o projekty programistyczne poświęcone analizie leksykalnej i rozpoznawaniu języków przy pomocy automatów</w:t>
            </w:r>
          </w:p>
          <w:p>
            <w:pPr>
              <w:spacing w:before="20" w:after="20"/>
            </w:pPr>
            <w:r>
              <w:rPr>
                <w:rFonts w:ascii="Aptos" w:hAnsi="Aptos"/>
                <w:sz w:val="22"/>
              </w:rPr>
              <w:t>3. zaliczenie ćwiczeń  wymaga zdobycia co najmniej  50% punktów możliwych do zdobycia na kolokwium oraz za zrealizowane projekty programistyczne</w:t>
            </w:r>
          </w:p>
          <w:p>
            <w:pPr>
              <w:spacing w:before="20" w:after="20"/>
            </w:pPr>
            <w:r>
              <w:rPr>
                <w:rFonts w:ascii="Aptos" w:hAnsi="Aptos"/>
                <w:sz w:val="22"/>
              </w:rPr>
              <w:t>4. Warunkiem dopuszczenia do egzaminu jest zaliczenie ćwiczeń.</w:t>
            </w:r>
          </w:p>
          <w:p>
            <w:pPr>
              <w:spacing w:before="20" w:after="20"/>
            </w:pPr>
            <w:r>
              <w:rPr>
                <w:rFonts w:ascii="Aptos" w:hAnsi="Aptos"/>
                <w:sz w:val="22"/>
              </w:rPr>
              <w:t>5. Warunkiem zdania egzaminu pisemnego jest zdobycie co najmniej  50%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