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grafiki 3D w OpenGL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OGL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Liczba punktów ECTS : 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Zaliczenie ćwiczeń polega na zbieraniu punktów: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50% możliwych punktów daje ocenę 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60% punktów daje ocenę 3½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70% — ocenę 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80% — 4½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90% i więcej — 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Laboratorium/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Zaliczenie ćwiczeń polega na zbieraniu punktów: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50% możliwych punktów daje ocenę 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60% punktów daje ocenę 3½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70% — ocenę 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80% — 4½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90% i więcej — 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Algebra liniowa i geometria  (ALG)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Analiza matematyczna  (AM)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Algorytmy i struktury danych (ASD)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Grafika komputerowa (GRK)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programowanie w C/C++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operacje na macierzach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przekształcenia liniowe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podstawy OpenGL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wykorzystanie zaawansowanych możliwości biblioteki OpenGL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the ability to use the advanced capabilities of the OpenGL library.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Obiekt buforu ramki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geometrii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Teselacja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obliczeniowe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Laboratorium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Mapowanie cienia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krzywych Béziera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płatów Béziera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głębi ostrości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R. Buss: 3D Computer Graphics: A Mathematical Introduction with OpenGL, Revision draft Draft A.10.b. May 28,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The Khronos Group: OpenGL API Documentation Overview 2024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Graham Sellers, Vulkan Programming Guide, Pearson Education, 2016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Graham Sellers, Richard S. Wright Jr., Nicholas HaemelOpenGL. Księga eksperta. Wydanie VII Helion2016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Alexander Overvoorde, Vulkan Tutorial, https://vulkan-tutorial.com,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programowania grafiki 3D z użyciem OpenGL: architekturę potoku renderowania, programowanie shaderów (GLSL), techniki oświetlenia (shadow mapping, ambient occlusion, PBR).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aktualne narzędzia i technologie grafiki 3D w czasie rzeczywistym: menedżery zasobów sceny, optymalizację (LOD, frustum culling, batching) i nowoczesne API (Vulkan/DirectX 12).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zaprogramować zaawansowaną aplikację grafiki 3D z użyciem OpenGL lub nowszego API, implementując własne shadery, systemy cząsteczkowe i zaawansowane efekty wizualne.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optymalizować aplikację graficzną pod kątem wydajności renderowania na nowoczesnym sprzęcie GPU.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zaawansowanych technologii graficznych przez całe życie zawodowe.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i doboru technologii graficznych do wymagań konkretnego projektu inżynierskiego.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