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problemowy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przypadków (case study) architektury systemów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mini-demonstracje (live coding / przegląd repozytorium)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zadania praktyczne (warsztaty)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zespołowa w repozytorium (code review, pull requesty)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 semestralny iteracyjny (MVP -&gt; kolejne przyrosty)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testy automatyczne i pipeline CI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 (część wykładowa): pytania problemowe + zadania dotyczące DDD, architektury oktogonalnej, SOA oraz OAuth 2.1.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Praca na zajęciach (laboratoria): realizacja zadań cząstkowych, jakość kodu, poprawność architektury, terminowość.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Projekt: kompletność funkcjonalna, zgodność z założeniami (DDD + architektura oktogonalna), jakość testów (integracyjne + E2E), konteneryzacja i uruchamianie środowiska.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Ocena końcowa = składowa z kolokwium + składowa z laboratoriów (praca) + składowa z projektu.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Warunek zaliczenia: oddanie projektu oraz uzyskanie wyniku pozytywnego z kolokwium.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