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informatycznych</w:t>
            </w:r>
          </w:p>
          <w:p>
            <w:pPr>
              <w:spacing w:before="20" w:after="20"/>
            </w:pPr>
            <w:r>
              <w:rPr>
                <w:rFonts w:ascii="Aptos" w:hAnsi="Aptos"/>
                <w:sz w:val="22"/>
              </w:rPr>
              <w:t>5. warsztaty</w:t>
            </w:r>
          </w:p>
          <w:p>
            <w:pPr>
              <w:spacing w:before="20" w:after="20"/>
            </w:pPr>
            <w:r>
              <w:rPr>
                <w:rFonts w:ascii="Aptos" w:hAnsi="Aptos"/>
                <w:sz w:val="22"/>
              </w:rPr>
              <w:t>6. Kryteria oceny</w:t>
            </w:r>
          </w:p>
          <w:p>
            <w:pPr>
              <w:spacing w:before="20" w:after="20"/>
            </w:pPr>
            <w:r>
              <w:rPr>
                <w:rFonts w:ascii="Aptos" w:hAnsi="Aptos"/>
                <w:sz w:val="22"/>
              </w:rPr>
              <w:t>7. ćwiczenia związane z tematyką wykładu</w:t>
            </w:r>
          </w:p>
          <w:p>
            <w:pPr>
              <w:spacing w:before="20" w:after="20"/>
            </w:pPr>
            <w:r>
              <w:rPr>
                <w:rFonts w:ascii="Aptos" w:hAnsi="Aptos"/>
                <w:sz w:val="22"/>
              </w:rPr>
              <w:t>8. opracowania obliczeniowe i koncepcyjne</w:t>
            </w:r>
          </w:p>
          <w:p>
            <w:pPr>
              <w:spacing w:before="20" w:after="20"/>
            </w:pPr>
            <w:r>
              <w:rPr>
                <w:rFonts w:ascii="Aptos" w:hAnsi="Aptos"/>
                <w:sz w:val="22"/>
              </w:rPr>
              <w:t>9. ocena sporządzonego sprawozdania</w:t>
            </w:r>
          </w:p>
          <w:p>
            <w:pPr>
              <w:spacing w:before="20" w:after="20"/>
            </w:pPr>
            <w:r>
              <w:rPr>
                <w:rFonts w:ascii="Aptos" w:hAnsi="Aptos"/>
                <w:sz w:val="22"/>
              </w:rPr>
              <w:t>10. brak</w:t>
            </w:r>
          </w:p>
        </w:tc>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informatycznych</w:t>
            </w:r>
          </w:p>
          <w:p>
            <w:pPr>
              <w:spacing w:before="20" w:after="20"/>
            </w:pPr>
            <w:r>
              <w:rPr>
                <w:rFonts w:ascii="Aptos" w:hAnsi="Aptos"/>
                <w:sz w:val="22"/>
              </w:rPr>
              <w:t>5. warsztaty</w:t>
            </w:r>
          </w:p>
          <w:p>
            <w:pPr>
              <w:spacing w:before="20" w:after="20"/>
            </w:pPr>
            <w:r>
              <w:rPr>
                <w:rFonts w:ascii="Aptos" w:hAnsi="Aptos"/>
                <w:sz w:val="22"/>
              </w:rPr>
              <w:t>6. Kryteria oceny</w:t>
            </w:r>
          </w:p>
          <w:p>
            <w:pPr>
              <w:spacing w:before="20" w:after="20"/>
            </w:pPr>
            <w:r>
              <w:rPr>
                <w:rFonts w:ascii="Aptos" w:hAnsi="Aptos"/>
                <w:sz w:val="22"/>
              </w:rPr>
              <w:t>7. ćwiczenia związane z tematyką wykładu</w:t>
            </w:r>
          </w:p>
          <w:p>
            <w:pPr>
              <w:spacing w:before="20" w:after="20"/>
            </w:pPr>
            <w:r>
              <w:rPr>
                <w:rFonts w:ascii="Aptos" w:hAnsi="Aptos"/>
                <w:sz w:val="22"/>
              </w:rPr>
              <w:t>8. opracowania obliczeniowe i koncepcyjne</w:t>
            </w:r>
          </w:p>
          <w:p>
            <w:pPr>
              <w:spacing w:before="20" w:after="20"/>
            </w:pPr>
            <w:r>
              <w:rPr>
                <w:rFonts w:ascii="Aptos" w:hAnsi="Aptos"/>
                <w:sz w:val="22"/>
              </w:rPr>
              <w:t>9. ocena sporządzonego sprawozdania</w:t>
            </w:r>
          </w:p>
          <w:p>
            <w:pPr>
              <w:spacing w:before="20" w:after="20"/>
            </w:pPr>
            <w:r>
              <w:rPr>
                <w:rFonts w:ascii="Aptos" w:hAnsi="Aptos"/>
                <w:sz w:val="22"/>
              </w:rPr>
              <w:t>10.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Kreatywność menedżerska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Profil osoby kreatywnej i przedsiębiorczej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Istota i motywy przedsiębiorczości gospodarczej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Tworzenie i analiza ścieżki doświadczeń dla wybranego produktu / usługi (praca z szablonem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customer journey map)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Metody graficzne i analityczne w diagnozowaniu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Odkrywanie możliwości dla produktu innowacyjnego – studium przypadku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Rozpoznawanie szans rynkowych i możliwości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sytuacyjnych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Analiza rozwoju firm innowacyjnych – macierz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kluczowych czynników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Planowanie rozwoju - elementy analizy strategicznej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Wprowadzenie do Design Thinking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Struktury organizacyjne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Wprowadzenie do pracy zespołowej i projektowej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Trening umiejętności pracy w zespole.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Organizowanie procesów i zarządzanie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Środowiska do komputerowego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wspomagania pracy projektowej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zespołowej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Kontrolowanie, doskonalenie i zarządzanie jakością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Identyfikacja potrzeb; wprowadzenie do analizy badań zastanych i jakościowych – wywiad,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obserwacja uczestnicząca, netnografia; mapa empatii, Persony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Mała firma – cykl rozwojowy i czynniki sukcesu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Diagnoza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Metoda 5 x dlaczego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Metoda Pareto-Lorenza i Diagram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Ishikawy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Rysowanie odręczne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Zarządzanie personelem i motywowanie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Metoda Kano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Wybrane techniki oceny wariantów i wspomagania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Indywidualne generowanie pomysłów do problemu (mindmapping, analiza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morfologiczna)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Generowanie pomysłów: burza mózgów,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MindMapping, deBono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Zespołowe generowanie pomysłów: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burza mózgów i metoda 6 kapeluszy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Wybrane techniki oceny wariantów i wspomagania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Metody oceny wariantów; testowanie wygenerowanych rozwiązań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Organizacja kreatywnej pracy zespołowej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Ocena potencjału motywacyjnego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personelu; analiza i dopracowywanie własnego CV, SWOT osobisty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Zarządzanie wiedzą i innowacjami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Zasady efektywnej komunikacji;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51.</w:t>
            </w:r>
          </w:p>
        </w:tc>
        <w:tc>
          <w:tcPr>
            <w:tcW w:type="dxa" w:w="3324"/>
          </w:tcPr>
          <w:p>
            <w:pPr>
              <w:spacing w:before="20" w:after="20"/>
            </w:pPr>
            <w:r>
              <w:rPr>
                <w:rFonts w:ascii="Aptos" w:hAnsi="Aptos"/>
                <w:b w:val="0"/>
                <w:i w:val="0"/>
                <w:sz w:val="22"/>
              </w:rPr>
              <w:t>Prezentacja rozwiązań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