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0</w:t>
            </w:r>
          </w:p>
        </w:tc>
        <w:tc>
          <w:tcPr>
            <w:tcW w:type="dxa" w:w="3324"/>
          </w:tcPr>
          <w:p>
            <w:pPr>
              <w:spacing w:before="20" w:after="20"/>
            </w:pPr>
            <w:r>
              <w:rPr>
                <w:rFonts w:ascii="Aptos" w:hAnsi="Aptos"/>
                <w:b w:val="0"/>
                <w:i w:val="0"/>
                <w:sz w:val="22"/>
              </w:rPr>
              <w:t>0</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Wykształcenie umiejętności ruchowych przydatnych w aktywności zdrowotnej, utylitarnej, rekreacyjnej i sportowej.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