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japoński 2</w:t>
            </w:r>
          </w:p>
        </w:tc>
        <w:tc>
          <w:tcPr>
            <w:tcW w:type="dxa" w:w="4986"/>
            <w:gridSpan w:val="2"/>
          </w:tcPr>
          <w:p>
            <w:pPr>
              <w:spacing w:before="20" w:after="20"/>
            </w:pPr>
            <w:r>
              <w:rPr>
                <w:rFonts w:ascii="Aptos" w:hAnsi="Aptos"/>
                <w:b w:val="0"/>
                <w:i w:val="0"/>
                <w:sz w:val="22"/>
              </w:rPr>
              <w:t>05.03.2026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JAP2</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lektorat</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Studium Języków Obcych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34</w:t>
            </w:r>
          </w:p>
        </w:tc>
        <w:tc>
          <w:tcPr>
            <w:tcW w:type="dxa" w:w="1994"/>
            <w:gridSpan w:val="2"/>
          </w:tcPr>
          <w:p>
            <w:pPr>
              <w:spacing w:before="20" w:after="20"/>
            </w:pPr>
            <w:r>
              <w:rPr>
                <w:rFonts w:ascii="Aptos" w:hAnsi="Aptos"/>
                <w:b w:val="0"/>
                <w:i w:val="0"/>
                <w:sz w:val="22"/>
              </w:rPr>
              <w:t>1.4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Nauka pisma japońskiego (hiragana, katakana, kanji); ćwiczenia gramatyczne i słownikowe; przygotowanie do kolokwiów i testów; ćwiczenie konwersacji.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mind map</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egzamin ustny</w:t>
            </w:r>
          </w:p>
          <w:p>
            <w:pPr>
              <w:spacing w:before="20" w:after="20"/>
            </w:pPr>
            <w:r>
              <w:rPr>
                <w:rFonts w:ascii="Aptos" w:hAnsi="Aptos"/>
                <w:sz w:val="22"/>
              </w:rPr>
              <w:t>3.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JAP1</w:t>
            </w:r>
          </w:p>
        </w:tc>
        <w:tc>
          <w:tcPr>
            <w:tcW w:type="dxa" w:w="4986"/>
          </w:tcPr>
          <w:p>
            <w:pPr>
              <w:spacing w:before="20" w:after="20"/>
            </w:pPr>
            <w:r>
              <w:rPr>
                <w:rFonts w:ascii="Aptos" w:hAnsi="Aptos"/>
                <w:b w:val="0"/>
                <w:i w:val="0"/>
                <w:sz w:val="22"/>
              </w:rPr>
              <w:t>Znajomość zagadnień z JAP1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japońskiego od podstaw. Student  opanowuje język japoński w stopniu pozwalającym na komunikację językową w większości sytuacji dnia codziennego i częściowo zawodowego, wyrażanie myśli i opinii, rozumienie i tworzenie krótkich tekstów pisanych i wypowiedzi ustnych na różne tematy. Student poznaje elementy kultury, historii i realiów życia codziennego w Japonii i krajach obszaru języka japońskiego.</w:t>
            </w:r>
          </w:p>
          <w:p>
            <w:pPr>
              <w:spacing w:before="80" w:after="20"/>
            </w:pPr>
            <w:r>
              <w:rPr>
                <w:rFonts w:ascii="Aptos" w:hAnsi="Aptos"/>
                <w:b/>
                <w:sz w:val="22"/>
              </w:rPr>
              <w:t>Abstrakt po angielsku:</w:t>
            </w:r>
          </w:p>
          <w:p>
            <w:pPr>
              <w:spacing w:before="20" w:after="20"/>
            </w:pPr>
            <w:r>
              <w:rPr>
                <w:rFonts w:ascii="Aptos" w:hAnsi="Aptos"/>
                <w:i/>
                <w:sz w:val="22"/>
              </w:rPr>
              <w:t>Japanese language instruction from scratch. Students acquire Japanese proficiency enabling communication in most everyday situations and, to some extent, professional contexts, as well as expressing thoughts and opinions and understanding and producing short written texts and spoken statements on various topics. Students also learn about the culture, history, and everyday life of Japan and Japanese-speaking regions.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1.Nauka znaków katakany a,i,u,e,o , ka,ki,ku,ke,ko,ga,gi,gu,ge,go, sa,shi,su,se,so,za,ji,zu,ze,zo wybrane nowe kanji</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2.  Nauka znaków katakany ta,chi,tsu,te,to,da,di,du,de,do ,na,ni,nu,ne,no / wybrane nowe kanji</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3. Nauka znaków katakany ha,hi,fu,he,ho,ba,bi,bu,be,bo,pa,pi,pu,pe,po / wybrane nowe kanji</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4. Nauka znaków katakany ma,mi,mu,me,mo, ya,yu,yo, ra,ri,ru,re,ro,wa,wo,n   / TEST (zdania z życia codziennego).</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5.  Dodatki do znaków katakany  (VA) (VI)  (VE)  (VO) WI WE  WO FA FI FE FO .</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6.  Forma -te (omówienie wszystkich grup) / czas teraźniejszy – przyszły i przeszły (+zaprzeczenie) – powtórzenie /budowanie zdań.</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7.  Dodatki do znaków katakany  TSA TSI TSE TSO SHE JE CHE TWU TI DWU DI .</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8.  Forma -tekudasai, Forma -tekara, Forma te (do łączenia czasowników), praca pisemna (wypracowanie) – opisać osobę z obrazka.</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9.  Forma -tekudasai, Forma -tekara, Forma te (do łączenia czasowników) – budowanie zdań.</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10.  Choroby i objawy i związane z tym znaki kanji</w:t>
            </w:r>
          </w:p>
        </w:tc>
      </w:tr>
      <w:tr>
        <w:tc>
          <w:tcPr>
            <w:tcW w:type="dxa" w:w="680"/>
          </w:tcPr>
          <w:p>
            <w:pPr>
              <w:spacing w:before="20" w:after="20"/>
            </w:pPr>
            <w:r>
              <w:rPr>
                <w:rFonts w:ascii="Aptos" w:hAnsi="Aptos"/>
                <w:b w:val="0"/>
                <w:i w:val="0"/>
                <w:sz w:val="22"/>
              </w:rPr>
              <w:t>11.</w:t>
            </w:r>
          </w:p>
        </w:tc>
        <w:tc>
          <w:tcPr>
            <w:tcW w:type="dxa" w:w="8788"/>
          </w:tcPr>
          <w:p>
            <w:pPr>
              <w:spacing w:before="20" w:after="20"/>
            </w:pPr>
            <w:r>
              <w:rPr>
                <w:rFonts w:ascii="Aptos" w:hAnsi="Aptos"/>
                <w:b w:val="0"/>
                <w:i w:val="0"/>
                <w:sz w:val="22"/>
              </w:rPr>
              <w:t>11.  Lekcja pisania listu formalnego – praca pisemna.</w:t>
            </w:r>
          </w:p>
        </w:tc>
      </w:tr>
      <w:tr>
        <w:tc>
          <w:tcPr>
            <w:tcW w:type="dxa" w:w="680"/>
          </w:tcPr>
          <w:p>
            <w:pPr>
              <w:spacing w:before="20" w:after="20"/>
            </w:pPr>
            <w:r>
              <w:rPr>
                <w:rFonts w:ascii="Aptos" w:hAnsi="Aptos"/>
                <w:b w:val="0"/>
                <w:i w:val="0"/>
                <w:sz w:val="22"/>
              </w:rPr>
              <w:t>12.</w:t>
            </w:r>
          </w:p>
        </w:tc>
        <w:tc>
          <w:tcPr>
            <w:tcW w:type="dxa" w:w="8788"/>
          </w:tcPr>
          <w:p>
            <w:pPr>
              <w:spacing w:before="20" w:after="20"/>
            </w:pPr>
            <w:r>
              <w:rPr>
                <w:rFonts w:ascii="Aptos" w:hAnsi="Aptos"/>
                <w:b w:val="0"/>
                <w:i w:val="0"/>
                <w:sz w:val="22"/>
              </w:rPr>
              <w:t>12.  Partykuła kara/made, powtórzenie godzin, budowanie zdań opisujących od kiedy do kiedy dany obiekt jest otwarty.</w:t>
            </w:r>
          </w:p>
        </w:tc>
      </w:tr>
      <w:tr>
        <w:tc>
          <w:tcPr>
            <w:tcW w:type="dxa" w:w="680"/>
          </w:tcPr>
          <w:p>
            <w:pPr>
              <w:spacing w:before="20" w:after="20"/>
            </w:pPr>
            <w:r>
              <w:rPr>
                <w:rFonts w:ascii="Aptos" w:hAnsi="Aptos"/>
                <w:b w:val="0"/>
                <w:i w:val="0"/>
                <w:sz w:val="22"/>
              </w:rPr>
              <w:t>13.</w:t>
            </w:r>
          </w:p>
        </w:tc>
        <w:tc>
          <w:tcPr>
            <w:tcW w:type="dxa" w:w="8788"/>
          </w:tcPr>
          <w:p>
            <w:pPr>
              <w:spacing w:before="20" w:after="20"/>
            </w:pPr>
            <w:r>
              <w:rPr>
                <w:rFonts w:ascii="Aptos" w:hAnsi="Aptos"/>
                <w:b w:val="0"/>
                <w:i w:val="0"/>
                <w:sz w:val="22"/>
              </w:rPr>
              <w:t>13.  Kolory i rodzina i wszystkie kanji z tym tematem związane</w:t>
            </w:r>
          </w:p>
        </w:tc>
      </w:tr>
      <w:tr>
        <w:tc>
          <w:tcPr>
            <w:tcW w:type="dxa" w:w="680"/>
          </w:tcPr>
          <w:p>
            <w:pPr>
              <w:spacing w:before="20" w:after="20"/>
            </w:pPr>
            <w:r>
              <w:rPr>
                <w:rFonts w:ascii="Aptos" w:hAnsi="Aptos"/>
                <w:b w:val="0"/>
                <w:i w:val="0"/>
                <w:sz w:val="22"/>
              </w:rPr>
              <w:t>14.</w:t>
            </w:r>
          </w:p>
        </w:tc>
        <w:tc>
          <w:tcPr>
            <w:tcW w:type="dxa" w:w="8788"/>
          </w:tcPr>
          <w:p>
            <w:pPr>
              <w:spacing w:before="20" w:after="20"/>
            </w:pPr>
            <w:r>
              <w:rPr>
                <w:rFonts w:ascii="Aptos" w:hAnsi="Aptos"/>
                <w:b w:val="0"/>
                <w:i w:val="0"/>
                <w:sz w:val="22"/>
              </w:rPr>
              <w:t>14.  Rodzina – opisanie swojej rodziny / Słuchanie (słownictwo związane z rodziną).</w:t>
            </w:r>
          </w:p>
        </w:tc>
      </w:tr>
      <w:tr>
        <w:tc>
          <w:tcPr>
            <w:tcW w:type="dxa" w:w="680"/>
          </w:tcPr>
          <w:p>
            <w:pPr>
              <w:spacing w:before="20" w:after="20"/>
            </w:pPr>
            <w:r>
              <w:rPr>
                <w:rFonts w:ascii="Aptos" w:hAnsi="Aptos"/>
                <w:b w:val="0"/>
                <w:i w:val="0"/>
                <w:sz w:val="22"/>
              </w:rPr>
              <w:t>15.</w:t>
            </w:r>
          </w:p>
        </w:tc>
        <w:tc>
          <w:tcPr>
            <w:tcW w:type="dxa" w:w="8788"/>
          </w:tcPr>
          <w:p>
            <w:pPr>
              <w:spacing w:before="20" w:after="20"/>
            </w:pPr>
            <w:r>
              <w:rPr>
                <w:rFonts w:ascii="Aptos" w:hAnsi="Aptos"/>
                <w:b w:val="0"/>
                <w:i w:val="0"/>
                <w:sz w:val="22"/>
              </w:rPr>
              <w:t>15.  Opisanie domu towarowego i produktów znajdujących się w tym obiekcie, nauka liczenia pięter .</w:t>
            </w:r>
          </w:p>
        </w:tc>
      </w:tr>
      <w:tr>
        <w:tc>
          <w:tcPr>
            <w:tcW w:type="dxa" w:w="680"/>
          </w:tcPr>
          <w:p>
            <w:pPr>
              <w:spacing w:before="20" w:after="20"/>
            </w:pPr>
            <w:r>
              <w:rPr>
                <w:rFonts w:ascii="Aptos" w:hAnsi="Aptos"/>
                <w:b w:val="0"/>
                <w:i w:val="0"/>
                <w:sz w:val="22"/>
              </w:rPr>
              <w:t>16.</w:t>
            </w:r>
          </w:p>
        </w:tc>
        <w:tc>
          <w:tcPr>
            <w:tcW w:type="dxa" w:w="8788"/>
          </w:tcPr>
          <w:p>
            <w:pPr>
              <w:spacing w:before="20" w:after="20"/>
            </w:pPr>
            <w:r>
              <w:rPr>
                <w:rFonts w:ascii="Aptos" w:hAnsi="Aptos"/>
                <w:b w:val="0"/>
                <w:i w:val="0"/>
                <w:sz w:val="22"/>
              </w:rPr>
              <w:t>16. Wybrane nowe znaki kanji</w:t>
            </w:r>
          </w:p>
        </w:tc>
      </w:tr>
      <w:tr>
        <w:tc>
          <w:tcPr>
            <w:tcW w:type="dxa" w:w="680"/>
          </w:tcPr>
          <w:p>
            <w:pPr>
              <w:spacing w:before="20" w:after="20"/>
            </w:pPr>
            <w:r>
              <w:rPr>
                <w:rFonts w:ascii="Aptos" w:hAnsi="Aptos"/>
                <w:b w:val="0"/>
                <w:i w:val="0"/>
                <w:sz w:val="22"/>
              </w:rPr>
              <w:t>17.</w:t>
            </w:r>
          </w:p>
        </w:tc>
        <w:tc>
          <w:tcPr>
            <w:tcW w:type="dxa" w:w="8788"/>
          </w:tcPr>
          <w:p>
            <w:pPr>
              <w:spacing w:before="20" w:after="20"/>
            </w:pPr>
            <w:r>
              <w:rPr>
                <w:rFonts w:ascii="Aptos" w:hAnsi="Aptos"/>
                <w:b w:val="0"/>
                <w:i w:val="0"/>
                <w:sz w:val="22"/>
              </w:rPr>
              <w:t>17. Słownictwo związane z ubiorem itp. i czasowniki zakładania.</w:t>
            </w:r>
          </w:p>
        </w:tc>
      </w:tr>
      <w:tr>
        <w:tc>
          <w:tcPr>
            <w:tcW w:type="dxa" w:w="680"/>
          </w:tcPr>
          <w:p>
            <w:pPr>
              <w:spacing w:before="20" w:after="20"/>
            </w:pPr>
            <w:r>
              <w:rPr>
                <w:rFonts w:ascii="Aptos" w:hAnsi="Aptos"/>
                <w:b w:val="0"/>
                <w:i w:val="0"/>
                <w:sz w:val="22"/>
              </w:rPr>
              <w:t>18.</w:t>
            </w:r>
          </w:p>
        </w:tc>
        <w:tc>
          <w:tcPr>
            <w:tcW w:type="dxa" w:w="8788"/>
          </w:tcPr>
          <w:p>
            <w:pPr>
              <w:spacing w:before="20" w:after="20"/>
            </w:pPr>
            <w:r>
              <w:rPr>
                <w:rFonts w:ascii="Aptos" w:hAnsi="Aptos"/>
                <w:b w:val="0"/>
                <w:i w:val="0"/>
                <w:sz w:val="22"/>
              </w:rPr>
              <w:t>18. Słuchanie: jeden dzień bohatera, zakupy, hobby.</w:t>
            </w:r>
          </w:p>
        </w:tc>
      </w:tr>
      <w:tr>
        <w:tc>
          <w:tcPr>
            <w:tcW w:type="dxa" w:w="680"/>
          </w:tcPr>
          <w:p>
            <w:pPr>
              <w:spacing w:before="20" w:after="20"/>
            </w:pPr>
            <w:r>
              <w:rPr>
                <w:rFonts w:ascii="Aptos" w:hAnsi="Aptos"/>
                <w:b w:val="0"/>
                <w:i w:val="0"/>
                <w:sz w:val="22"/>
              </w:rPr>
              <w:t>19.</w:t>
            </w:r>
          </w:p>
        </w:tc>
        <w:tc>
          <w:tcPr>
            <w:tcW w:type="dxa" w:w="8788"/>
          </w:tcPr>
          <w:p>
            <w:pPr>
              <w:spacing w:before="20" w:after="20"/>
            </w:pPr>
            <w:r>
              <w:rPr>
                <w:rFonts w:ascii="Aptos" w:hAnsi="Aptos"/>
                <w:b w:val="0"/>
                <w:i w:val="0"/>
                <w:sz w:val="22"/>
              </w:rPr>
              <w:t>19.  Słuchanie: porównania i opinia.</w:t>
            </w:r>
          </w:p>
        </w:tc>
      </w:tr>
      <w:tr>
        <w:tc>
          <w:tcPr>
            <w:tcW w:type="dxa" w:w="680"/>
          </w:tcPr>
          <w:p>
            <w:pPr>
              <w:spacing w:before="20" w:after="20"/>
            </w:pPr>
            <w:r>
              <w:rPr>
                <w:rFonts w:ascii="Aptos" w:hAnsi="Aptos"/>
                <w:b w:val="0"/>
                <w:i w:val="0"/>
                <w:sz w:val="22"/>
              </w:rPr>
              <w:t>20.</w:t>
            </w:r>
          </w:p>
        </w:tc>
        <w:tc>
          <w:tcPr>
            <w:tcW w:type="dxa" w:w="8788"/>
          </w:tcPr>
          <w:p>
            <w:pPr>
              <w:spacing w:before="20" w:after="20"/>
            </w:pPr>
            <w:r>
              <w:rPr>
                <w:rFonts w:ascii="Aptos" w:hAnsi="Aptos"/>
                <w:b w:val="0"/>
                <w:i w:val="0"/>
                <w:sz w:val="22"/>
              </w:rPr>
              <w:t>20.  Nowe znaki knaji i budowanie z nimi zdań.</w:t>
            </w:r>
          </w:p>
        </w:tc>
      </w:tr>
      <w:tr>
        <w:tc>
          <w:tcPr>
            <w:tcW w:type="dxa" w:w="680"/>
          </w:tcPr>
          <w:p>
            <w:pPr>
              <w:spacing w:before="20" w:after="20"/>
            </w:pPr>
            <w:r>
              <w:rPr>
                <w:rFonts w:ascii="Aptos" w:hAnsi="Aptos"/>
                <w:b w:val="0"/>
                <w:i w:val="0"/>
                <w:sz w:val="22"/>
              </w:rPr>
              <w:t>21.</w:t>
            </w:r>
          </w:p>
        </w:tc>
        <w:tc>
          <w:tcPr>
            <w:tcW w:type="dxa" w:w="8788"/>
          </w:tcPr>
          <w:p>
            <w:pPr>
              <w:spacing w:before="20" w:after="20"/>
            </w:pPr>
            <w:r>
              <w:rPr>
                <w:rFonts w:ascii="Aptos" w:hAnsi="Aptos"/>
                <w:b w:val="0"/>
                <w:i w:val="0"/>
                <w:sz w:val="22"/>
              </w:rPr>
              <w:t>21. Liczebniki i budowanie z nimi zdań + nowe znaki kanji.</w:t>
            </w:r>
          </w:p>
        </w:tc>
      </w:tr>
      <w:tr>
        <w:tc>
          <w:tcPr>
            <w:tcW w:type="dxa" w:w="680"/>
          </w:tcPr>
          <w:p>
            <w:pPr>
              <w:spacing w:before="20" w:after="20"/>
            </w:pPr>
            <w:r>
              <w:rPr>
                <w:rFonts w:ascii="Aptos" w:hAnsi="Aptos"/>
                <w:b w:val="0"/>
                <w:i w:val="0"/>
                <w:sz w:val="22"/>
              </w:rPr>
              <w:t>22.</w:t>
            </w:r>
          </w:p>
        </w:tc>
        <w:tc>
          <w:tcPr>
            <w:tcW w:type="dxa" w:w="8788"/>
          </w:tcPr>
          <w:p>
            <w:pPr>
              <w:spacing w:before="20" w:after="20"/>
            </w:pPr>
            <w:r>
              <w:rPr>
                <w:rFonts w:ascii="Aptos" w:hAnsi="Aptos"/>
                <w:b w:val="0"/>
                <w:i w:val="0"/>
                <w:sz w:val="22"/>
              </w:rPr>
              <w:t>22. Konstrukcja yori nohōga,motto ichiban ,nowe znaki kanji, ciekawostka: różne święta i dni wolne.</w:t>
            </w:r>
          </w:p>
        </w:tc>
      </w:tr>
      <w:tr>
        <w:tc>
          <w:tcPr>
            <w:tcW w:type="dxa" w:w="680"/>
          </w:tcPr>
          <w:p>
            <w:pPr>
              <w:spacing w:before="20" w:after="20"/>
            </w:pPr>
            <w:r>
              <w:rPr>
                <w:rFonts w:ascii="Aptos" w:hAnsi="Aptos"/>
                <w:b w:val="0"/>
                <w:i w:val="0"/>
                <w:sz w:val="22"/>
              </w:rPr>
              <w:t>23.</w:t>
            </w:r>
          </w:p>
        </w:tc>
        <w:tc>
          <w:tcPr>
            <w:tcW w:type="dxa" w:w="8788"/>
          </w:tcPr>
          <w:p>
            <w:pPr>
              <w:spacing w:before="20" w:after="20"/>
            </w:pPr>
            <w:r>
              <w:rPr>
                <w:rFonts w:ascii="Aptos" w:hAnsi="Aptos"/>
                <w:b w:val="0"/>
                <w:i w:val="0"/>
                <w:sz w:val="22"/>
              </w:rPr>
              <w:t>23.To co potrafimy i to czego nie potrafimy , czytanka o mieście w Brazylii , zadanie ze słuchu .</w:t>
            </w:r>
          </w:p>
        </w:tc>
      </w:tr>
      <w:tr>
        <w:tc>
          <w:tcPr>
            <w:tcW w:type="dxa" w:w="680"/>
          </w:tcPr>
          <w:p>
            <w:pPr>
              <w:spacing w:before="20" w:after="20"/>
            </w:pPr>
            <w:r>
              <w:rPr>
                <w:rFonts w:ascii="Aptos" w:hAnsi="Aptos"/>
                <w:b w:val="0"/>
                <w:i w:val="0"/>
                <w:sz w:val="22"/>
              </w:rPr>
              <w:t>24.</w:t>
            </w:r>
          </w:p>
        </w:tc>
        <w:tc>
          <w:tcPr>
            <w:tcW w:type="dxa" w:w="8788"/>
          </w:tcPr>
          <w:p>
            <w:pPr>
              <w:spacing w:before="20" w:after="20"/>
            </w:pPr>
            <w:r>
              <w:rPr>
                <w:rFonts w:ascii="Aptos" w:hAnsi="Aptos"/>
                <w:b w:val="0"/>
                <w:i w:val="0"/>
                <w:sz w:val="22"/>
              </w:rPr>
              <w:t>24.  Rozmowa na poczcie – jak wysłać list i przesyłkę i związane z tym słownictwo( paczka, polecony, przesyłka morska itp.), nowy czasownik: kakaru.</w:t>
            </w:r>
          </w:p>
        </w:tc>
      </w:tr>
      <w:tr>
        <w:tc>
          <w:tcPr>
            <w:tcW w:type="dxa" w:w="680"/>
          </w:tcPr>
          <w:p>
            <w:pPr>
              <w:spacing w:before="20" w:after="20"/>
            </w:pPr>
            <w:r>
              <w:rPr>
                <w:rFonts w:ascii="Aptos" w:hAnsi="Aptos"/>
                <w:b w:val="0"/>
                <w:i w:val="0"/>
                <w:sz w:val="22"/>
              </w:rPr>
              <w:t>25.</w:t>
            </w:r>
          </w:p>
        </w:tc>
        <w:tc>
          <w:tcPr>
            <w:tcW w:type="dxa" w:w="8788"/>
          </w:tcPr>
          <w:p>
            <w:pPr>
              <w:spacing w:before="20" w:after="20"/>
            </w:pPr>
            <w:r>
              <w:rPr>
                <w:rFonts w:ascii="Aptos" w:hAnsi="Aptos"/>
                <w:b w:val="0"/>
                <w:i w:val="0"/>
                <w:sz w:val="22"/>
              </w:rPr>
              <w:t>25.  Wszystkie zastosowania partykuły de i budowanie zdań, ciekawostka o ogrodach japońskich.</w:t>
            </w:r>
          </w:p>
        </w:tc>
      </w:tr>
      <w:tr>
        <w:tc>
          <w:tcPr>
            <w:tcW w:type="dxa" w:w="680"/>
          </w:tcPr>
          <w:p>
            <w:pPr>
              <w:spacing w:before="20" w:after="20"/>
            </w:pPr>
            <w:r>
              <w:rPr>
                <w:rFonts w:ascii="Aptos" w:hAnsi="Aptos"/>
                <w:b w:val="0"/>
                <w:i w:val="0"/>
                <w:sz w:val="22"/>
              </w:rPr>
              <w:t>26.</w:t>
            </w:r>
          </w:p>
        </w:tc>
        <w:tc>
          <w:tcPr>
            <w:tcW w:type="dxa" w:w="8788"/>
          </w:tcPr>
          <w:p>
            <w:pPr>
              <w:spacing w:before="20" w:after="20"/>
            </w:pPr>
            <w:r>
              <w:rPr>
                <w:rFonts w:ascii="Aptos" w:hAnsi="Aptos"/>
                <w:b w:val="0"/>
                <w:i w:val="0"/>
                <w:sz w:val="22"/>
              </w:rPr>
              <w:t>26.  Czytanka o ninja i związane z tym słownictwo, nowe kanji.</w:t>
            </w:r>
          </w:p>
        </w:tc>
      </w:tr>
      <w:tr>
        <w:tc>
          <w:tcPr>
            <w:tcW w:type="dxa" w:w="680"/>
          </w:tcPr>
          <w:p>
            <w:pPr>
              <w:spacing w:before="20" w:after="20"/>
            </w:pPr>
            <w:r>
              <w:rPr>
                <w:rFonts w:ascii="Aptos" w:hAnsi="Aptos"/>
                <w:b w:val="0"/>
                <w:i w:val="0"/>
                <w:sz w:val="22"/>
              </w:rPr>
              <w:t>27.</w:t>
            </w:r>
          </w:p>
        </w:tc>
        <w:tc>
          <w:tcPr>
            <w:tcW w:type="dxa" w:w="8788"/>
          </w:tcPr>
          <w:p>
            <w:pPr>
              <w:spacing w:before="20" w:after="20"/>
            </w:pPr>
            <w:r>
              <w:rPr>
                <w:rFonts w:ascii="Aptos" w:hAnsi="Aptos"/>
                <w:b w:val="0"/>
                <w:i w:val="0"/>
                <w:sz w:val="22"/>
              </w:rPr>
              <w:t>27.  Omawianie różnych dialogów, zalety i wady  (Fast food), nowe słowa, interpretacja zdjęcia po japońsku.</w:t>
            </w:r>
          </w:p>
        </w:tc>
      </w:tr>
      <w:tr>
        <w:tc>
          <w:tcPr>
            <w:tcW w:type="dxa" w:w="680"/>
          </w:tcPr>
          <w:p>
            <w:pPr>
              <w:spacing w:before="20" w:after="20"/>
            </w:pPr>
            <w:r>
              <w:rPr>
                <w:rFonts w:ascii="Aptos" w:hAnsi="Aptos"/>
                <w:b w:val="0"/>
                <w:i w:val="0"/>
                <w:sz w:val="22"/>
              </w:rPr>
              <w:t>28.</w:t>
            </w:r>
          </w:p>
        </w:tc>
        <w:tc>
          <w:tcPr>
            <w:tcW w:type="dxa" w:w="8788"/>
          </w:tcPr>
          <w:p>
            <w:pPr>
              <w:spacing w:before="20" w:after="20"/>
            </w:pPr>
            <w:r>
              <w:rPr>
                <w:rFonts w:ascii="Aptos" w:hAnsi="Aptos"/>
                <w:b w:val="0"/>
                <w:i w:val="0"/>
                <w:sz w:val="22"/>
              </w:rPr>
              <w:t>28.  Rozmowa na temat zainteresowań i wspomnień, nowe kanji, czytanka o miastach w Japonii.</w:t>
            </w:r>
          </w:p>
        </w:tc>
      </w:tr>
      <w:tr>
        <w:tc>
          <w:tcPr>
            <w:tcW w:type="dxa" w:w="680"/>
          </w:tcPr>
          <w:p>
            <w:pPr>
              <w:spacing w:before="20" w:after="20"/>
            </w:pPr>
            <w:r>
              <w:rPr>
                <w:rFonts w:ascii="Aptos" w:hAnsi="Aptos"/>
                <w:b w:val="0"/>
                <w:i w:val="0"/>
                <w:sz w:val="22"/>
              </w:rPr>
              <w:t>29.</w:t>
            </w:r>
          </w:p>
        </w:tc>
        <w:tc>
          <w:tcPr>
            <w:tcW w:type="dxa" w:w="8788"/>
          </w:tcPr>
          <w:p>
            <w:pPr>
              <w:spacing w:before="20" w:after="20"/>
            </w:pPr>
            <w:r>
              <w:rPr>
                <w:rFonts w:ascii="Aptos" w:hAnsi="Aptos"/>
                <w:b w:val="0"/>
                <w:i w:val="0"/>
                <w:sz w:val="22"/>
              </w:rPr>
              <w:t>29.  Froma nai i budowanie z zdań, powtórzenie materiału z całego semestru.</w:t>
            </w:r>
          </w:p>
        </w:tc>
      </w:tr>
      <w:tr>
        <w:tc>
          <w:tcPr>
            <w:tcW w:type="dxa" w:w="680"/>
          </w:tcPr>
          <w:p>
            <w:pPr>
              <w:spacing w:before="20" w:after="20"/>
            </w:pPr>
            <w:r>
              <w:rPr>
                <w:rFonts w:ascii="Aptos" w:hAnsi="Aptos"/>
                <w:b w:val="0"/>
                <w:i w:val="0"/>
                <w:sz w:val="22"/>
              </w:rPr>
              <w:t>30.</w:t>
            </w:r>
          </w:p>
        </w:tc>
        <w:tc>
          <w:tcPr>
            <w:tcW w:type="dxa" w:w="8788"/>
          </w:tcPr>
          <w:p>
            <w:pPr>
              <w:spacing w:before="20" w:after="20"/>
            </w:pPr>
            <w:r>
              <w:rPr>
                <w:rFonts w:ascii="Aptos" w:hAnsi="Aptos"/>
                <w:b w:val="0"/>
                <w:i w:val="0"/>
                <w:sz w:val="22"/>
              </w:rPr>
              <w:t>30.  Kolokwium zaliczeniowe.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L. Czernichowska-Kramarz Japoński w obrazkach. Słownik, rozmówki, gramatyka wyd. Edgar</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Materiały własne – przygotowane przez lektorkę Lindę Czernichowską-Kramarz na podstawie własnych pomysłów oraz różnych książek</w:t>
            </w:r>
          </w:p>
          <w:p>
            <w:pPr>
              <w:spacing w:before="20" w:after="20"/>
            </w:pPr>
            <w:r>
              <w:rPr>
                <w:rFonts w:ascii="Aptos" w:hAnsi="Aptos"/>
                <w:sz w:val="22"/>
              </w:rPr>
              <w:t>2. Minna no nihongo I – główny podręcznik  wyd. 3anetwork Japonia</w:t>
            </w:r>
          </w:p>
          <w:p>
            <w:pPr>
              <w:spacing w:before="20" w:after="20"/>
            </w:pPr>
            <w:r>
              <w:rPr>
                <w:rFonts w:ascii="Aptos" w:hAnsi="Aptos"/>
                <w:sz w:val="22"/>
              </w:rPr>
              <w:t>3. Minna no nihongo I choukai– słuchanie  wyd. 3anetwork Japonia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pisać abstrakt, streszczenie, pisać wykres, diagram, list motywacyjny i CV wykorzystując słownictwo i struktury gramatyczne w odpowiednim kontekście.</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konstruować wypowiedź ustną i pisemną poprawną pod względem logicznym i merytorycznym wdrażając słownictwo specjalistyczne i biznesowe</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