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  <w:jc w:val="center"/>
      </w:pPr>
      <w:r>
        <w:rPr>
          <w:rFonts w:ascii="Aptos" w:hAnsi="Aptos"/>
          <w:b/>
          <w:sz w:val="26"/>
        </w:rPr>
        <w:t>SYLABUS</w:t>
      </w:r>
    </w:p>
    <w:p>
      <w:pPr>
        <w:spacing w:before="0" w:after="40"/>
        <w:jc w:val="center"/>
      </w:pPr>
      <w:r>
        <w:rPr>
          <w:rFonts w:ascii="Aptos" w:hAnsi="Aptos"/>
          <w:b/>
          <w:sz w:val="20"/>
        </w:rPr>
        <w:t>Polsko-Japonska Akademia Technik Komputerowych Filia w Gdansku</w:t>
      </w:r>
    </w:p>
    <w:p>
      <w:pPr>
        <w:spacing w:before="0" w:after="80"/>
        <w:jc w:val="center"/>
      </w:pPr>
      <w:r>
        <w:rPr>
          <w:rFonts w:ascii="Aptos" w:hAnsi="Aptos"/>
          <w:sz w:val="20"/>
        </w:rPr>
        <w:t>Kierunek: INFORMATYKA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2493"/>
        <w:gridCol w:w="2493"/>
        <w:gridCol w:w="2493"/>
        <w:gridCol w:w="2493"/>
      </w:tblGrid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1.  Nazwa polska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2.  Wersja z dnia: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Statystyczna analiza danych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08.03.2026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3.  Nazwa angielska przedmiotu: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4.  Kod przedmiotu: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SAD</w:t>
            </w:r>
          </w:p>
        </w:tc>
      </w:tr>
      <w:tr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5.  Nazwa jednostki prowadzącej przedmiot:</w:t>
            </w:r>
          </w:p>
        </w:tc>
        <w:tc>
          <w:tcPr>
            <w:tcW w:type="dxa" w:w="4986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6.  Liczba punktów ECTS:</w:t>
            </w:r>
          </w:p>
        </w:tc>
      </w:tr>
      <w:tr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Filia w Gdansku</w:t>
            </w:r>
          </w:p>
        </w:tc>
        <w:tc>
          <w:tcPr>
            <w:tcW w:type="dxa" w:w="4986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1662"/>
        <w:gridCol w:w="1662"/>
        <w:gridCol w:w="1662"/>
        <w:gridCol w:w="1662"/>
        <w:gridCol w:w="1662"/>
        <w:gridCol w:w="1662"/>
      </w:tblGrid>
      <w:tr>
        <w:tc>
          <w:tcPr>
            <w:tcW w:type="dxa" w:w="9972"/>
            <w:gridSpan w:val="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7.  Studia</w:t>
            </w:r>
          </w:p>
        </w:tc>
      </w:tr>
      <w:tr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kierunek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stopień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forma studiów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zakres specjalizacyjny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profil</w:t>
            </w:r>
          </w:p>
        </w:tc>
        <w:tc>
          <w:tcPr>
            <w:tcW w:type="dxa" w:w="166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semestr nauczania</w:t>
            </w:r>
          </w:p>
        </w:tc>
      </w:tr>
      <w:tr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INFORMATYKA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I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stacjonarny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obligatoryjny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praktyczny</w:t>
            </w:r>
          </w:p>
        </w:tc>
        <w:tc>
          <w:tcPr>
            <w:tcW w:type="dxa" w:w="166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8.  Osoba odpowiedzialna za przedmiot: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Dr Monika Wrzosek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  <w:gridCol w:w="997"/>
      </w:tblGrid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9.  Formy zajęć, sposób ich realizacji i przypisana im liczba godzin: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Wymiar godzinowy (liczba godzin w semestrze)</w:t>
            </w:r>
          </w:p>
        </w:tc>
      </w:tr>
      <w:tr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 internetowo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ćw./lab./prac. internetowo</w:t>
            </w:r>
          </w:p>
        </w:tc>
      </w:tr>
      <w:tr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30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—</w:t>
            </w:r>
          </w:p>
        </w:tc>
      </w:tr>
      <w:tr>
        <w:tc>
          <w:tcPr>
            <w:tcW w:type="dxa" w:w="9970"/>
            <w:gridSpan w:val="1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Bilans ECTS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Rodzaj nakładu pracy:</w:t>
            </w:r>
          </w:p>
        </w:tc>
        <w:tc>
          <w:tcPr>
            <w:tcW w:type="dxa" w:w="2991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Liczba godzin</w:t>
            </w:r>
          </w:p>
        </w:tc>
        <w:tc>
          <w:tcPr>
            <w:tcW w:type="dxa" w:w="1994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ECTS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Zajęcia z bezpośrednim udziałem nauczyciela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2.4</w:t>
            </w:r>
          </w:p>
        </w:tc>
      </w:tr>
      <w:tr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praca studenta</w:t>
            </w:r>
          </w:p>
        </w:tc>
        <w:tc>
          <w:tcPr>
            <w:tcW w:type="dxa" w:w="2991"/>
            <w:gridSpan w:val="3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40</w:t>
            </w:r>
          </w:p>
        </w:tc>
        <w:tc>
          <w:tcPr>
            <w:tcW w:type="dxa" w:w="1994"/>
            <w:gridSpan w:val="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1.6</w:t>
            </w:r>
          </w:p>
        </w:tc>
      </w:tr>
      <w:tr>
        <w:tc>
          <w:tcPr>
            <w:tcW w:type="dxa" w:w="4985"/>
            <w:gridSpan w:val="5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Opis samodzielnej pracy studenta</w:t>
            </w:r>
          </w:p>
        </w:tc>
        <w:tc>
          <w:tcPr>
            <w:tcW w:type="dxa" w:w="4985"/>
            <w:gridSpan w:val="5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Samodzielna analiza zbiorów danych statystycznych; ćwiczenia z narzędzi statystycznych (R, Python); przygotowanie do kolokwiów laboratoryjnych i egzaminu pisemnego.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10.  Język wykładowy: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polski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11.  Metody dydaktyczne: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Wykład: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wykład z prezentacją multimedialną</w:t>
            </w:r>
          </w:p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Ćwiczenia / Laboratorium: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rozwiązywanie zadań</w:t>
            </w:r>
          </w:p>
          <w:p>
            <w:pPr>
              <w:spacing w:before="20" w:after="20"/>
            </w:pPr>
            <w:r>
              <w:rPr>
                <w:rFonts w:ascii="Aptos" w:hAnsi="Aptos"/>
                <w:b w:val="0"/>
                <w:sz w:val="22"/>
              </w:rPr>
              <w:t>• warsztaty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12.  Forma i sposób zaliczenia oraz podstawowe kryteria oceny lub wymagania egzaminacyjne: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wykład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ćwiczenia/laboratorium/pracownia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☑ Egzamin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Nieoceniany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bez oceny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Zaliczenie z oceną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☐ Egzamin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kryteria oceny: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egzamin pisemny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4986"/>
        <w:gridCol w:w="4986"/>
      </w:tblGrid>
      <w:tr>
        <w:tc>
          <w:tcPr>
            <w:tcW w:type="dxa" w:w="9972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13.  Kompetencje niezbędne dla realizacji przedmiotu i przedmioty poprzedzające, z których one pochodzą:</w:t>
            </w:r>
          </w:p>
        </w:tc>
      </w:tr>
      <w:tr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Nazwa przedmiotu poprzedzającego lub realizowanego równolegle</w:t>
            </w:r>
          </w:p>
        </w:tc>
        <w:tc>
          <w:tcPr>
            <w:tcW w:type="dxa" w:w="4986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Wymagane kompetencje niezbędne w realizacji danego przedmiotu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Analiza matematyczna,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rachunku różniczkowego i całkowego</w:t>
            </w:r>
          </w:p>
        </w:tc>
      </w:tr>
      <w:tr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Podstawy Programowania</w:t>
            </w:r>
          </w:p>
        </w:tc>
        <w:tc>
          <w:tcPr>
            <w:tcW w:type="dxa" w:w="4986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14.  Cele przedmiotu (abstrakt w języku polskim i angielskim)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/>
                <w:sz w:val="22"/>
              </w:rPr>
              <w:t>Abstrakt po polsku:</w:t>
            </w:r>
          </w:p>
          <w:p>
            <w:pPr>
              <w:spacing w:before="20" w:after="80"/>
            </w:pPr>
            <w:r>
              <w:rPr>
                <w:rFonts w:ascii="Aptos" w:hAnsi="Aptos"/>
                <w:sz w:val="22"/>
              </w:rPr>
              <w:t>Celem przedmiotu jest zapoznanie studentów ze sposobami prezentacji i analizy danych oraz narzędziami modelowania probabilistycznego; przedstawienie metod statystyki matematycznej i wnioskowania statystycznego oraz nabycieprzez studentów praktycznych umiejętności wykorzystania oprogramowania do statystycznej analizy danych.</w:t>
            </w:r>
          </w:p>
          <w:p>
            <w:pPr>
              <w:spacing w:before="80" w:after="20"/>
            </w:pPr>
            <w:r>
              <w:rPr>
                <w:rFonts w:ascii="Aptos" w:hAnsi="Aptos"/>
                <w:b/>
                <w:sz w:val="22"/>
              </w:rPr>
              <w:t>Abstrakt po angielsku:</w:t>
            </w:r>
          </w:p>
          <w:p>
            <w:pPr>
              <w:spacing w:before="20" w:after="20"/>
            </w:pPr>
            <w:r>
              <w:rPr>
                <w:rFonts w:ascii="Aptos" w:hAnsi="Aptos"/>
                <w:i/>
                <w:sz w:val="22"/>
              </w:rPr>
              <w:t>The aim of the course is to familiarize students with methods of data presentation and analysis as well as probabilistic modeling tools; to present methods of mathematical statistics and statistical inference; and to equip students with practical skills in using software for statistical data analysis.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680"/>
        <w:gridCol w:w="8788"/>
      </w:tblGrid>
      <w:tr>
        <w:tc>
          <w:tcPr>
            <w:tcW w:type="dxa" w:w="9468"/>
            <w:gridSpan w:val="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15.  Treści programowe poszczególnych zajęć:</w:t>
            </w:r>
          </w:p>
        </w:tc>
      </w:tr>
      <w:tr>
        <w:tc>
          <w:tcPr>
            <w:tcW w:type="dxa" w:w="680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Nr zajęć</w:t>
            </w:r>
          </w:p>
        </w:tc>
        <w:tc>
          <w:tcPr>
            <w:tcW w:type="dxa" w:w="8788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Treści programowe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Prawdopodobieństwo klasyczne i warunkowe. Niezależność zdarzeń. Prawdopodobieństwo całkowite. Wzór Bayesa. Niezawodność systemu.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2.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dyskretne, dystrybuanta, wartość oczekiwana i wariancja. Rozkłady dwumianowy, ujemny dwumianowy i Poissona.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3.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ciągłe, gęstość, dystrybuanta, wartość oczekiwana i wariancja. Rozkłady jednostajny, geometryczny, wykładniczy, gamma i normalny. Centralne twierdzenie graniczne.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4.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Zmienne losowe dwuwymiarowa. Rozkłady brzegowe. Niezależność zmiennych losowych.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5.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Zastosowania metody Monte Carlo.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6.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procesów stochastycznych. Łańcuchy Markowa.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7.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Elementy teorii kolejek.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8.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Statystyka opisowa.Miary położenia, rozproszenia, asymetrii, koncentracji.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9.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Estymacja punktowa i przedziałowa parametrów rozkładów.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10.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Testowanie hipotez statystycznych.</w:t>
            </w:r>
          </w:p>
        </w:tc>
      </w:tr>
      <w:tr>
        <w:tc>
          <w:tcPr>
            <w:tcW w:type="dxa" w:w="680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11.</w:t>
            </w:r>
          </w:p>
        </w:tc>
        <w:tc>
          <w:tcPr>
            <w:tcW w:type="dxa" w:w="8788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Model regresji liniowej.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16.  Elektroniczne materiały dydaktyczne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17.  Wykaz literatury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wymagana do ostatecznego zaliczenia zajęć, wykorzystywana podczas zajęć oraz studiowana samodzielnie przez studenta: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Michael Baron, Probability and Statistics for Computer Scientists, 3rd edition. American University Chapman &amp; Hall/CRC, 2019.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Literatura uzupełniająca: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1. Koronacki J., Mielniczuk J., Statystyka dla studentów kierunków technicznych i przyrodniczych, WNT, 2018.</w:t>
            </w:r>
          </w:p>
          <w:p>
            <w:pPr>
              <w:spacing w:before="20" w:after="20"/>
            </w:pPr>
            <w:r>
              <w:rPr>
                <w:rFonts w:ascii="Aptos" w:hAnsi="Aptos"/>
                <w:sz w:val="22"/>
              </w:rPr>
              <w:t>2. Plucińska A., Pluciński E., Probabilistyka, PWN, 2017.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18.  Wiedza nabywana / dostarczana uczestnikom w trakcie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zaawansowane zagadnienia probabilistyki i statystyki: rozkłady prawdopodobieństwa, procesy stochastyczne, łańcuchy Markowa, teorię kolejek i metody Monte Carlo w kontekście zastosowań informatycznych.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K_W12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zna i rozumie metody statystycznej analizy danych: estymację parametryczną i nieparametryczną, testowanie hipotez, regresję liniową i podstawy analizy bayesowskiej. [K_W12]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egzamin pisemny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19.  Umiejętności nabywane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zastosować aparat matematyczny statystyki do analizy danych informatycznych, implementować modele probabilistyczne i interpretować wyniki analiz statystycznych.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K_U07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potrafi posługiwać się narzędziami analityki danych (Python: NumPy, SciPy, pandas, matplotlib) do eksploracji i wizualizacji danych oraz budowy podstawowych modeli predykcyjnych. [K_U07]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20.  Kompetencje społeczne (postawy) kształtowane podczas realizacji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Kierunkowe efekty uczenia się (kody)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Przedmiotowy efekt uczenia się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8"/>
              </w:rPr>
              <w:t>Metody weryfikacji osiągnięcia efektu uczenia się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K_K01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zastosowania metod statystycznych w analizie danych na rzecz rozwiązywania problemów naukowych i inżynierskich. [K_K01]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K_K03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Student jest gotów do samodzielnego uczenia się przez całe życie, aktualizując wiedzę z zakresu statystyki i analizy danych. [K_K03]</w:t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  <w:t>kolokwium</w:t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3324"/>
        <w:gridCol w:w="3324"/>
        <w:gridCol w:w="3324"/>
      </w:tblGrid>
      <w:tr>
        <w:tc>
          <w:tcPr>
            <w:tcW w:type="dxa" w:w="9972"/>
            <w:gridSpan w:val="3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21.  Wymagania dotyczące laboratorium, w którym odbywają się zajęcia z niniejszego przedmiotu</w:t>
            </w:r>
          </w:p>
        </w:tc>
      </w:tr>
      <w:tr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Parametry dla stanowisk komputerowych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Oprogramowanie konieczne do realizacji przedmiotu</w:t>
            </w:r>
          </w:p>
        </w:tc>
        <w:tc>
          <w:tcPr>
            <w:tcW w:type="dxa" w:w="3324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16"/>
              </w:rPr>
              <w:t>Wyposażenie specjalistyczne konieczne do realizacji przedmiotu</w:t>
            </w:r>
          </w:p>
        </w:tc>
      </w:tr>
      <w:tr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  <w:tc>
          <w:tcPr>
            <w:tcW w:type="dxa" w:w="3324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22.  Informacje dodatkowe – certyfikaty do których przygotowuje przedmiot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tbl>
      <w:tblPr>
        <w:tblW w:type="auto" w:w="0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W w:w="5000" w:type="pct"/>
      </w:tblPr>
      <w:tblGrid>
        <w:gridCol w:w="9972"/>
      </w:tblGrid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/>
                <w:i w:val="0"/>
                <w:sz w:val="22"/>
              </w:rPr>
              <w:t>23.  Uzasadnienie dla prowadzenia przedmiotu - współpraca z rynkiem pracy</w:t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A.  W jakiego typu firmach bądź dziedzinach gospodarki będą potrzebne umiejętności nabyte w trakcie zajęć: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B.  W jakich zawodach wiedza i umiejętności nabyte podczas zajęć są istotne: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  <w:tr>
        <w:tc>
          <w:tcPr>
            <w:tcW w:type="dxa" w:w="9972"/>
            <w:shd w:val="clear" w:color="auto" w:fill="D9D9D9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16"/>
              </w:rPr>
              <w:t>C.  Przykładowe tematy prac dyplomowych i projektów badawczych:</w:t>
            </w:r>
          </w:p>
        </w:tc>
      </w:tr>
      <w:tr>
        <w:tc>
          <w:tcPr>
            <w:tcW w:type="dxa" w:w="9972"/>
          </w:tcPr>
          <w:p>
            <w:pPr>
              <w:spacing w:before="20" w:after="20"/>
            </w:pPr>
            <w:r>
              <w:rPr>
                <w:rFonts w:ascii="Aptos" w:hAnsi="Aptos"/>
                <w:b w:val="0"/>
                <w:i w:val="0"/>
                <w:sz w:val="22"/>
              </w:rPr>
            </w:r>
          </w:p>
        </w:tc>
      </w:tr>
    </w:tbl>
    <w:sectPr w:rsidR="00FC693F" w:rsidRPr="0006063C" w:rsidSect="00034616">
      <w:pgSz w:w="12240" w:h="15840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