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programów systemowych; ćwiczenia z systemowych wywołań API; przygotowanie do kolokwiów; praca z narzędziami debugowania na poziomie systemu.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Live-coding</w:t>
            </w:r>
          </w:p>
          <w:p>
            <w:pPr>
              <w:spacing w:before="20" w:after="20"/>
            </w:pPr>
            <w:r>
              <w:rPr>
                <w:rFonts w:ascii="Aptos" w:hAnsi="Aptos"/>
                <w:b w:val="0"/>
                <w:sz w:val="22"/>
              </w:rPr>
              <w:t>• Dyskusja</w:t>
            </w:r>
          </w:p>
          <w:p>
            <w:pPr>
              <w:spacing w:before="20" w:after="20"/>
            </w:pPr>
            <w:r>
              <w:rPr>
                <w:rFonts w:ascii="Aptos" w:hAnsi="Aptos"/>
                <w:b w:val="0"/>
                <w:sz w:val="22"/>
              </w:rPr>
              <w:t>• Wspólne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architektury komputera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Wstęp do programowania w x86 assembly</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Pamięć</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Skoki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Arytmetyka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ONP + Stos</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Pętle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Projekt / funkcje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Projekt / funkcje, include, asm zaawansowany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Bootsector OS, BIOS</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32-bit assembly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Bootsector, ładowanie jądra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Proste jądro</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Proste mechanizmy OS, rozwój jądra 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