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Plan van aanpak databaseproject — V2</w:t>
      </w:r>
    </w:p>
    <w:p>
      <w:pPr>
        <w:keepNext w:val="false"/>
        <w:spacing w:after="160" w:before="0" w:line="264"/>
      </w:pPr>
      <w:r>
        <w:rPr>
          <w:rFonts w:ascii="Calibri" w:cs="Calibri" w:eastAsia="Calibri" w:hAnsi="Calibri"/>
          <w:b/>
          <w:bCs/>
          <w:color w:val="6C757D"/>
          <w:spacing w:val="8"/>
          <w:sz w:val="17"/>
          <w:szCs w:val="17"/>
        </w:rPr>
        <w:t xml:space="preserve">PLAN VAN AANPAK V2 · Databaseproject Bouwcontrole · ERD, SQL en NoSQL · 26 oktober 2026 · vervangt V1</w:t>
      </w:r>
    </w:p>
    <w:p>
      <w:pPr>
        <w:keepNext w:val="false"/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Dit plan zegt hoe Claude je door het hele databaseproject begeleidt: wat je krijgt, wanneer, wat Claude niet doet, en wat Claude van jou nodig heeft. De afspraken waarop het steunt, staan in </w:t>
      </w:r>
      <w:r>
        <w:rPr>
          <w:rFonts w:ascii="Consolas" w:cs="Consolas" w:eastAsia="Consolas" w:hAnsi="Consolas"/>
          <w:color w:val="343A40"/>
          <w:sz w:val="19"/>
          <w:szCs w:val="19"/>
          <w:shd w:fill="F1F3F5" w:color="auto" w:val="clear"/>
        </w:rPr>
        <w:t xml:space="preserve">docs/afspraken-databaseproject-V2.md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C7ED6" w:sz="36"/>
              <w:bottom w:val="none" w:color="FFFFFF" w:sz="0"/>
              <w:right w:val="none" w:color="FFFFFF" w:sz="0"/>
            </w:tcBorders>
            <w:shd w:fill="E7F5FF" w:color="auto" w:val="clear"/>
            <w:tcMar>
              <w:top w:type="dxa" w:w="130"/>
              <w:left w:type="dxa" w:w="230"/>
              <w:bottom w:type="dxa" w:w="60"/>
              <w:right w:type="dxa" w:w="23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7ED6"/>
                <w:spacing w:val="12"/>
                <w:sz w:val="17"/>
                <w:szCs w:val="17"/>
              </w:rPr>
              <w:t xml:space="preserve">OPMERKING</w:t>
            </w:r>
          </w:p>
          <w:p>
            <w:pPr>
              <w:spacing w:after="9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Wat veranderde tegenover V1.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Enkel de nummering van het leerboek. Leerboek V2 werd deel 1 met een uitgewerkt voorbeeld in elk hoofdstuk. Daardoor schuift elk volgend deel één versie op: deel 2 wordt V3, deel 3 wordt V4, deel 4 wordt V5. De rest van het plan bleef gelijk. V1 blijft staan.</w:t>
            </w:r>
          </w:p>
        </w:tc>
      </w:tr>
    </w:tbl>
    <w:p>
      <w:pPr>
        <w:spacing w:after="0" w:before="0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Vaste afspraken</w:t>
      </w:r>
    </w:p>
    <w:p>
      <w:pPr>
        <w:pStyle w:val="ListParagraph"/>
        <w:keepLines/>
        <w:numPr>
          <w:ilvl w:val="0"/>
          <w:numId w:val="2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Geen bestaand bestand aanpassen.</w:t>
      </w:r>
      <w:r>
        <w:rPr>
          <w:rFonts w:ascii="Calibri" w:cs="Calibri" w:eastAsia="Calibri" w:hAnsi="Calibri"/>
          <w:sz w:val="21"/>
          <w:szCs w:val="21"/>
        </w:rPr>
        <w:t xml:space="preserve"> Alles wat Claude maakt, is een nieuw bestand met een versienummer. Jij beslist wat je overneemt, en zet het zelf op GitHub.</w:t>
      </w:r>
    </w:p>
    <w:p>
      <w:pPr>
        <w:pStyle w:val="ListParagraph"/>
        <w:keepLines/>
        <w:numPr>
          <w:ilvl w:val="0"/>
          <w:numId w:val="2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Tips en richting, geen oplossingen.</w:t>
      </w:r>
      <w:r>
        <w:rPr>
          <w:rFonts w:ascii="Calibri" w:cs="Calibri" w:eastAsia="Calibri" w:hAnsi="Calibri"/>
          <w:sz w:val="21"/>
          <w:szCs w:val="21"/>
        </w:rPr>
        <w:t xml:space="preserve"> Geen verbeterd ERD, geen SQL, geen JSON-schema's, en geen keuzes in jouw plaats.</w:t>
      </w:r>
    </w:p>
    <w:p>
      <w:pPr>
        <w:pStyle w:val="ListParagraph"/>
        <w:keepLines/>
        <w:numPr>
          <w:ilvl w:val="0"/>
          <w:numId w:val="2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Een nakijk is altijd een Word-bestand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43A40"/>
          <w:sz w:val="19"/>
          <w:szCs w:val="19"/>
          <w:shd w:fill="F1F3F5" w:color="auto" w:val="clear"/>
        </w:rPr>
        <w:t xml:space="preserve">Nakijk … V#.docx</w:t>
      </w:r>
      <w:r>
        <w:rPr>
          <w:rFonts w:ascii="Calibri" w:cs="Calibri" w:eastAsia="Calibri" w:hAnsi="Calibri"/>
          <w:sz w:val="21"/>
          <w:szCs w:val="21"/>
        </w:rPr>
        <w:t xml:space="preserve">) in </w:t>
      </w:r>
      <w:r>
        <w:rPr>
          <w:rFonts w:ascii="Consolas" w:cs="Consolas" w:eastAsia="Consolas" w:hAnsi="Consolas"/>
          <w:color w:val="343A40"/>
          <w:sz w:val="19"/>
          <w:szCs w:val="19"/>
          <w:shd w:fill="F1F3F5" w:color="auto" w:val="clear"/>
        </w:rPr>
        <w:t xml:space="preserve">Hulpmiddelen\Nakijk</w:t>
      </w:r>
      <w:r>
        <w:rPr>
          <w:rFonts w:ascii="Calibri" w:cs="Calibri" w:eastAsia="Calibri" w:hAnsi="Calibri"/>
          <w:sz w:val="21"/>
          <w:szCs w:val="21"/>
        </w:rPr>
        <w:t xml:space="preserve">, buiten Project Database. Zo belandt een nakijk nooit in je ZIP.</w:t>
      </w:r>
    </w:p>
    <w:p>
      <w:pPr>
        <w:pStyle w:val="ListParagraph"/>
        <w:keepLines/>
        <w:numPr>
          <w:ilvl w:val="0"/>
          <w:numId w:val="2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Eerst een plan van aanpak.</w:t>
      </w:r>
      <w:r>
        <w:rPr>
          <w:rFonts w:ascii="Calibri" w:cs="Calibri" w:eastAsia="Calibri" w:hAnsi="Calibri"/>
          <w:sz w:val="21"/>
          <w:szCs w:val="21"/>
        </w:rPr>
        <w:t xml:space="preserve"> Claude voert pas uit na jouw akkoord.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Tijdlijn</w:t>
      </w:r>
    </w:p>
    <w:tbl>
      <w:tblPr>
        <w:tblW w:type="dxa" w:w="9638"/>
        <w:tblBorders>
          <w:top w:val="single" w:color="CED4DA" w:sz="4"/>
          <w:left w:val="single" w:color="CED4DA" w:sz="4"/>
          <w:bottom w:val="single" w:color="CED4DA" w:sz="4"/>
          <w:right w:val="single" w:color="CED4DA" w:sz="4"/>
          <w:insideH w:val="single" w:color="CED4DA" w:sz="4"/>
          <w:insideV w:val="single" w:color="CED4DA" w:sz="4"/>
        </w:tblBorders>
        <w:tblLayout w:type="fixed"/>
      </w:tblPr>
      <w:tblGrid>
        <w:gridCol w:w="1971"/>
        <w:gridCol w:w="1533"/>
        <w:gridCol w:w="6134"/>
      </w:tblGrid>
      <w:tr>
        <w:trPr>
          <w:cantSplit/>
          <w:tblHeader/>
        </w:trPr>
        <w:tc>
          <w:tcPr>
            <w:tcW w:type="dxa" w:w="1971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1533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Gewicht</w:t>
            </w:r>
          </w:p>
        </w:tc>
        <w:tc>
          <w:tcPr>
            <w:tcW w:type="dxa" w:w="6134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Deadline in je takenlijst</w:t>
            </w:r>
          </w:p>
        </w:tc>
      </w:tr>
      <w:tr>
        <w:trPr>
          <w:cantSplit/>
        </w:trPr>
        <w:tc>
          <w:tcPr>
            <w:tcW w:type="dxa" w:w="19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ERD</w:t>
            </w:r>
          </w:p>
        </w:tc>
        <w:tc>
          <w:tcPr>
            <w:tcW w:type="dxa" w:w="153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15%</w:t>
            </w:r>
          </w:p>
        </w:tc>
        <w:tc>
          <w:tcPr>
            <w:tcW w:type="dxa" w:w="61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november 2026 (verlofweek)</w:t>
            </w:r>
          </w:p>
        </w:tc>
      </w:tr>
      <w:tr>
        <w:trPr>
          <w:cantSplit/>
        </w:trPr>
        <w:tc>
          <w:tcPr>
            <w:tcW w:type="dxa" w:w="19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</w:t>
            </w:r>
          </w:p>
        </w:tc>
        <w:tc>
          <w:tcPr>
            <w:tcW w:type="dxa" w:w="153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10%</w:t>
            </w:r>
          </w:p>
        </w:tc>
        <w:tc>
          <w:tcPr>
            <w:tcW w:type="dxa" w:w="61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januari 2027</w:t>
            </w:r>
          </w:p>
        </w:tc>
      </w:tr>
      <w:tr>
        <w:trPr>
          <w:cantSplit/>
        </w:trPr>
        <w:tc>
          <w:tcPr>
            <w:tcW w:type="dxa" w:w="19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NoSQL</w:t>
            </w:r>
          </w:p>
        </w:tc>
        <w:tc>
          <w:tcPr>
            <w:tcW w:type="dxa" w:w="153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5%</w:t>
            </w:r>
          </w:p>
        </w:tc>
        <w:tc>
          <w:tcPr>
            <w:tcW w:type="dxa" w:w="61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januari 2027</w:t>
            </w:r>
          </w:p>
        </w:tc>
      </w:tr>
    </w:tbl>
    <w:p>
      <w:pPr>
        <w:spacing w:after="60" w:before="0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Het leerboek, per versie</w:t>
      </w:r>
    </w:p>
    <w:tbl>
      <w:tblPr>
        <w:tblW w:type="dxa" w:w="9638"/>
        <w:tblBorders>
          <w:top w:val="single" w:color="CED4DA" w:sz="4"/>
          <w:left w:val="single" w:color="CED4DA" w:sz="4"/>
          <w:bottom w:val="single" w:color="CED4DA" w:sz="4"/>
          <w:right w:val="single" w:color="CED4DA" w:sz="4"/>
          <w:insideH w:val="single" w:color="CED4DA" w:sz="4"/>
          <w:insideV w:val="single" w:color="CED4DA" w:sz="4"/>
        </w:tblBorders>
        <w:tblLayout w:type="fixed"/>
      </w:tblPr>
      <w:tblGrid>
        <w:gridCol w:w="873"/>
        <w:gridCol w:w="4653"/>
        <w:gridCol w:w="1008"/>
        <w:gridCol w:w="3104"/>
      </w:tblGrid>
      <w:tr>
        <w:trPr>
          <w:cantSplit/>
          <w:tblHeader/>
        </w:trPr>
        <w:tc>
          <w:tcPr>
            <w:tcW w:type="dxa" w:w="873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Versie</w:t>
            </w:r>
          </w:p>
        </w:tc>
        <w:tc>
          <w:tcPr>
            <w:tcW w:type="dxa" w:w="4653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Inhoud</w:t>
            </w:r>
          </w:p>
        </w:tc>
        <w:tc>
          <w:tcPr>
            <w:tcW w:type="dxa" w:w="1008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Lessen</w:t>
            </w:r>
          </w:p>
        </w:tc>
        <w:tc>
          <w:tcPr>
            <w:tcW w:type="dxa" w:w="3104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Wanneer</w:t>
            </w:r>
          </w:p>
        </w:tc>
      </w:tr>
      <w:tr>
        <w:trPr>
          <w:cantSplit/>
        </w:trPr>
        <w:tc>
          <w:tcPr>
            <w:tcW w:type="dxa" w:w="87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V1</w:t>
            </w:r>
          </w:p>
        </w:tc>
        <w:tc>
          <w:tcPr>
            <w:tcW w:type="dxa" w:w="465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deel 1: modelleren</w:t>
            </w:r>
          </w:p>
        </w:tc>
        <w:tc>
          <w:tcPr>
            <w:tcW w:type="dxa" w:w="10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 2, 3 en 12</w:t>
            </w:r>
          </w:p>
        </w:tc>
        <w:tc>
          <w:tcPr>
            <w:tcW w:type="dxa" w:w="310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geleverd op 19 oktober</w:t>
            </w:r>
          </w:p>
        </w:tc>
      </w:tr>
      <w:tr>
        <w:trPr>
          <w:cantSplit/>
        </w:trPr>
        <w:tc>
          <w:tcPr>
            <w:tcW w:type="dxa" w:w="87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</w:t>
            </w:r>
          </w:p>
        </w:tc>
        <w:tc>
          <w:tcPr>
            <w:tcW w:type="dxa" w:w="465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deel 1: modelleren, met een uitgewerkt voorbeeld in elk hoofdstuk</w:t>
            </w:r>
          </w:p>
        </w:tc>
        <w:tc>
          <w:tcPr>
            <w:tcW w:type="dxa" w:w="10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 2, 3 en 12</w:t>
            </w:r>
          </w:p>
        </w:tc>
        <w:tc>
          <w:tcPr>
            <w:tcW w:type="dxa" w:w="310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geleverd op 26 oktober</w:t>
            </w:r>
          </w:p>
        </w:tc>
      </w:tr>
      <w:tr>
        <w:trPr>
          <w:cantSplit/>
        </w:trPr>
        <w:tc>
          <w:tcPr>
            <w:tcW w:type="dxa" w:w="87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V3</w:t>
            </w:r>
          </w:p>
        </w:tc>
        <w:tc>
          <w:tcPr>
            <w:tcW w:type="dxa" w:w="465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deel 2: tabellen, constraints en delete-opties in SQL</w:t>
            </w:r>
          </w:p>
        </w:tc>
        <w:tc>
          <w:tcPr>
            <w:tcW w:type="dxa" w:w="10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10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voor je aan de SQL begint</w:t>
            </w:r>
          </w:p>
        </w:tc>
      </w:tr>
      <w:tr>
        <w:trPr>
          <w:cantSplit/>
        </w:trPr>
        <w:tc>
          <w:tcPr>
            <w:tcW w:type="dxa" w:w="87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V4</w:t>
            </w:r>
          </w:p>
        </w:tc>
        <w:tc>
          <w:tcPr>
            <w:tcW w:type="dxa" w:w="465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deel 3: SELECT, functies, joins, subqueries, set-functies en GROUP BY</w:t>
            </w:r>
          </w:p>
        </w:tc>
        <w:tc>
          <w:tcPr>
            <w:tcW w:type="dxa" w:w="10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tot 11</w:t>
            </w:r>
          </w:p>
        </w:tc>
        <w:tc>
          <w:tcPr>
            <w:tcW w:type="dxa" w:w="310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één keer, of per thema, zoals jij wil</w:t>
            </w:r>
          </w:p>
        </w:tc>
      </w:tr>
      <w:tr>
        <w:trPr>
          <w:cantSplit/>
        </w:trPr>
        <w:tc>
          <w:tcPr>
            <w:tcW w:type="dxa" w:w="87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V5</w:t>
            </w:r>
          </w:p>
        </w:tc>
        <w:tc>
          <w:tcPr>
            <w:tcW w:type="dxa" w:w="465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deel 4: MongoDB</w:t>
            </w:r>
          </w:p>
        </w:tc>
        <w:tc>
          <w:tcPr>
            <w:tcW w:type="dxa" w:w="10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en 14</w:t>
            </w:r>
          </w:p>
        </w:tc>
        <w:tc>
          <w:tcPr>
            <w:tcW w:type="dxa" w:w="310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voor je aan de NoSQL begint</w:t>
            </w:r>
          </w:p>
        </w:tc>
      </w:tr>
    </w:tbl>
    <w:p>
      <w:pPr>
        <w:spacing w:after="60" w:before="0"/>
      </w:pPr>
    </w:p>
    <w:p>
      <w:pPr>
        <w:keepNext w:val="false"/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Het voorbeeld in het leerboek is altijd Smaakvol, nooit Bouwcontrole.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1: ERD, tot 1 november</w:t>
      </w:r>
    </w:p>
    <w:p>
      <w:pPr>
        <w:keepNext/>
        <w:spacing w:after="12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 jij doet: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afbakening kiezen (V09, A01);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de lijnen tekenen, met multipliciteiten en relatiebeschrijvingen;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de attributen, datatypes, NA/NNA en delete-opties invullen;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special topic kiezen;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verantwoording schrijven.</w:t>
      </w:r>
    </w:p>
    <w:p>
      <w:pPr>
        <w:keepNext w:val="false"/>
        <w:spacing w:after="12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 Claude doet:</w:t>
      </w:r>
      <w:r>
        <w:rPr>
          <w:rFonts w:ascii="Calibri" w:cs="Calibri" w:eastAsia="Calibri" w:hAnsi="Calibri"/>
          <w:sz w:val="21"/>
          <w:szCs w:val="21"/>
        </w:rPr>
        <w:t xml:space="preserve"> een nakijk telkens als je erom vraagt. Elke versie vergelijkt met de vorige.</w:t>
      </w:r>
    </w:p>
    <w:tbl>
      <w:tblPr>
        <w:tblW w:type="dxa" w:w="9638"/>
        <w:tblBorders>
          <w:top w:val="single" w:color="CED4DA" w:sz="4"/>
          <w:left w:val="single" w:color="CED4DA" w:sz="4"/>
          <w:bottom w:val="single" w:color="CED4DA" w:sz="4"/>
          <w:right w:val="single" w:color="CED4DA" w:sz="4"/>
          <w:insideH w:val="single" w:color="CED4DA" w:sz="4"/>
          <w:insideV w:val="single" w:color="CED4DA" w:sz="4"/>
        </w:tblBorders>
        <w:tblLayout w:type="fixed"/>
      </w:tblPr>
      <w:tblGrid>
        <w:gridCol w:w="871"/>
        <w:gridCol w:w="4384"/>
        <w:gridCol w:w="4383"/>
      </w:tblGrid>
      <w:tr>
        <w:trPr>
          <w:cantSplit/>
          <w:tblHeader/>
        </w:trPr>
        <w:tc>
          <w:tcPr>
            <w:tcW w:type="dxa" w:w="871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Nakijk</w:t>
            </w:r>
          </w:p>
        </w:tc>
        <w:tc>
          <w:tcPr>
            <w:tcW w:type="dxa" w:w="4384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Wanneer</w:t>
            </w:r>
          </w:p>
        </w:tc>
        <w:tc>
          <w:tcPr>
            <w:tcW w:type="dxa" w:w="4383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Waarop Claude vooral let</w:t>
            </w:r>
          </w:p>
        </w:tc>
      </w:tr>
      <w:tr>
        <w:trPr>
          <w:cantSplit/>
        </w:trPr>
        <w:tc>
          <w:tcPr>
            <w:tcW w:type="dxa" w:w="8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V4</w:t>
            </w:r>
          </w:p>
        </w:tc>
        <w:tc>
          <w:tcPr>
            <w:tcW w:type="dxa" w:w="438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als de lijnen staan</w:t>
            </w:r>
          </w:p>
        </w:tc>
        <w:tc>
          <w:tcPr>
            <w:tcW w:type="dxa" w:w="43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plaats van de foreign keys, veel-op-veelrelaties, multipliciteiten, relatiebeschrijvingen, afbakening tegenover je flow</w:t>
            </w:r>
          </w:p>
        </w:tc>
      </w:tr>
      <w:tr>
        <w:trPr>
          <w:cantSplit/>
        </w:trPr>
        <w:tc>
          <w:tcPr>
            <w:tcW w:type="dxa" w:w="8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V5</w:t>
            </w:r>
          </w:p>
        </w:tc>
        <w:tc>
          <w:tcPr>
            <w:tcW w:type="dxa" w:w="438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als attributen, datatypes, NA/NNA en delete-opties ingevuld zijn</w:t>
            </w:r>
          </w:p>
        </w:tc>
        <w:tc>
          <w:tcPr>
            <w:tcW w:type="dxa" w:w="43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datatypes, NA/NNA tegenover de aard, delete-opties, special topic, aantallen per soort</w:t>
            </w:r>
          </w:p>
        </w:tc>
      </w:tr>
      <w:tr>
        <w:trPr>
          <w:cantSplit/>
        </w:trPr>
        <w:tc>
          <w:tcPr>
            <w:tcW w:type="dxa" w:w="8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V6</w:t>
            </w:r>
          </w:p>
        </w:tc>
        <w:tc>
          <w:tcPr>
            <w:tcW w:type="dxa" w:w="438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rond 30–31 oktober</w:t>
            </w:r>
          </w:p>
        </w:tc>
        <w:tc>
          <w:tcPr>
            <w:tcW w:type="dxa" w:w="43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eindcontrole tegen de zeven feedbackcriteria van de opgave en de ERD-checklists (E38, E39), plus je verantwoording als je die meegeeft</w:t>
            </w:r>
          </w:p>
        </w:tc>
      </w:tr>
    </w:tbl>
    <w:p>
      <w:pPr>
        <w:spacing w:after="60" w:before="0"/>
      </w:pPr>
    </w:p>
    <w:p>
      <w:pPr>
        <w:keepNext/>
        <w:spacing w:after="12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 vragen voor je leerkracht</w:t>
      </w:r>
      <w:r>
        <w:rPr>
          <w:rFonts w:ascii="Calibri" w:cs="Calibri" w:eastAsia="Calibri" w:hAnsi="Calibri"/>
          <w:sz w:val="21"/>
          <w:szCs w:val="21"/>
        </w:rPr>
        <w:t xml:space="preserve"> die nu tellen voor het ERD:</w:t>
      </w:r>
    </w:p>
    <w:p>
      <w:pPr>
        <w:pStyle w:val="ListParagraph"/>
        <w:keepLines/>
        <w:numPr>
          <w:ilvl w:val="0"/>
          <w:numId w:val="4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Q03: tellen </w:t>
      </w:r>
      <w:r>
        <w:rPr>
          <w:rFonts w:ascii="Consolas" w:cs="Consolas" w:eastAsia="Consolas" w:hAnsi="Consolas"/>
          <w:color w:val="343A40"/>
          <w:sz w:val="19"/>
          <w:szCs w:val="19"/>
          <w:shd w:fill="F1F3F5" w:color="auto" w:val="clear"/>
        </w:rPr>
        <w:t xml:space="preserve">id</w:t>
      </w:r>
      <w:r>
        <w:rPr>
          <w:rFonts w:ascii="Calibri" w:cs="Calibri" w:eastAsia="Calibri" w:hAnsi="Calibri"/>
          <w:sz w:val="21"/>
          <w:szCs w:val="21"/>
        </w:rPr>
        <w:t xml:space="preserve"> en de foreign keys mee voor de 8 en 4 attributen?</w:t>
      </w:r>
    </w:p>
    <w:p>
      <w:pPr>
        <w:pStyle w:val="ListParagraph"/>
        <w:keepLines/>
        <w:numPr>
          <w:ilvl w:val="0"/>
          <w:numId w:val="4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Q04: algemene datatypes of die van SQL Server?</w:t>
      </w:r>
    </w:p>
    <w:p>
      <w:pPr>
        <w:pStyle w:val="ListParagraph"/>
        <w:keepLines/>
        <w:numPr>
          <w:ilvl w:val="0"/>
          <w:numId w:val="4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Q08: hoe benoem je de entiteiten van je special topic?</w:t>
      </w:r>
    </w:p>
    <w:p>
      <w:pPr>
        <w:pStyle w:val="ListParagraph"/>
        <w:keepLines/>
        <w:numPr>
          <w:ilvl w:val="0"/>
          <w:numId w:val="4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de notatie van een enumeratie bij een attribuut.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2: SQL, november tot 12 januari</w:t>
      </w:r>
    </w:p>
    <w:p>
      <w:pPr>
        <w:pStyle w:val="ListParagraph"/>
        <w:keepLines/>
        <w:numPr>
          <w:ilvl w:val="0"/>
          <w:numId w:val="5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Leerboek Database V3</w:t>
      </w:r>
      <w:r>
        <w:rPr>
          <w:rFonts w:ascii="Calibri" w:cs="Calibri" w:eastAsia="Calibri" w:hAnsi="Calibri"/>
          <w:sz w:val="21"/>
          <w:szCs w:val="21"/>
        </w:rPr>
        <w:t xml:space="preserve">, deel 2 (les 4): tabellen, constraints, en delete-opties in SQL. Claude levert het voor je aan de SQL begint.</w:t>
      </w:r>
    </w:p>
    <w:p>
      <w:pPr>
        <w:pStyle w:val="ListParagraph"/>
        <w:keepLines/>
        <w:numPr>
          <w:ilvl w:val="0"/>
          <w:numId w:val="5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Leerboek Database V4</w:t>
      </w:r>
      <w:r>
        <w:rPr>
          <w:rFonts w:ascii="Calibri" w:cs="Calibri" w:eastAsia="Calibri" w:hAnsi="Calibri"/>
          <w:sz w:val="21"/>
          <w:szCs w:val="21"/>
        </w:rPr>
        <w:t xml:space="preserve">, deel 3 (les 5 tot 11): SELECT, functies, joins, subqueries, set-functies en GROUP BY. In één keer, of per thema, zoals jij wil.</w:t>
      </w:r>
    </w:p>
    <w:p>
      <w:pPr>
        <w:pStyle w:val="ListParagraph"/>
        <w:keepLines/>
        <w:numPr>
          <w:ilvl w:val="0"/>
          <w:numId w:val="5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Nakijk SQL V1, V2, …</w:t>
      </w:r>
      <w:r>
        <w:rPr>
          <w:rFonts w:ascii="Calibri" w:cs="Calibri" w:eastAsia="Calibri" w:hAnsi="Calibri"/>
          <w:sz w:val="21"/>
          <w:szCs w:val="21"/>
        </w:rPr>
        <w:t xml:space="preserve"> van je ingevulde sjabloon:</w:t>
      </w:r>
    </w:p>
    <w:p>
      <w:pPr>
        <w:pStyle w:val="ListParagraph"/>
        <w:keepLines/>
        <w:numPr>
          <w:ilvl w:val="1"/>
          <w:numId w:val="6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eerst je tabellen tegenover je ERD (S13), de namen van de constraints en de 20 records per tabel;</w:t>
      </w:r>
    </w:p>
    <w:p>
      <w:pPr>
        <w:pStyle w:val="ListParagraph"/>
        <w:keepLines/>
        <w:numPr>
          <w:ilvl w:val="1"/>
          <w:numId w:val="6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daarna per thema: past elke vraag bij haar query (S26, S27)?</w:t>
      </w:r>
    </w:p>
    <w:p>
      <w:pPr>
        <w:pStyle w:val="ListParagraph"/>
        <w:keepLines/>
        <w:numPr>
          <w:ilvl w:val="0"/>
          <w:numId w:val="5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Claude kan je SQL hier niet op SQL Server uitvoeren. Claude leest je statements en loopt ze op papier na; jij voert ze uit.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3: NoSQL, december tot 12 januari</w:t>
      </w:r>
    </w:p>
    <w:p>
      <w:pPr>
        <w:pStyle w:val="ListParagraph"/>
        <w:keepLines/>
        <w:numPr>
          <w:ilvl w:val="0"/>
          <w:numId w:val="7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Leerboek Database V5</w:t>
      </w:r>
      <w:r>
        <w:rPr>
          <w:rFonts w:ascii="Calibri" w:cs="Calibri" w:eastAsia="Calibri" w:hAnsi="Calibri"/>
          <w:sz w:val="21"/>
          <w:szCs w:val="21"/>
        </w:rPr>
        <w:t xml:space="preserve">, deel 4 (les 13 en 14): MongoDB.</w:t>
      </w:r>
    </w:p>
    <w:p>
      <w:pPr>
        <w:pStyle w:val="ListParagraph"/>
        <w:keepLines/>
        <w:numPr>
          <w:ilvl w:val="0"/>
          <w:numId w:val="7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Nakijk NoSQL V1, …</w:t>
      </w:r>
      <w:r>
        <w:rPr>
          <w:rFonts w:ascii="Calibri" w:cs="Calibri" w:eastAsia="Calibri" w:hAnsi="Calibri"/>
          <w:sz w:val="21"/>
          <w:szCs w:val="21"/>
        </w:rPr>
        <w:t xml:space="preserve"> van je JSON-schema's:</w:t>
      </w:r>
    </w:p>
    <w:p>
      <w:pPr>
        <w:pStyle w:val="ListParagraph"/>
        <w:keepLines/>
        <w:numPr>
          <w:ilvl w:val="1"/>
          <w:numId w:val="8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de keuze van de kernentiteiten (de grootste is verplicht);</w:t>
      </w:r>
    </w:p>
    <w:p>
      <w:pPr>
        <w:pStyle w:val="ListParagraph"/>
        <w:keepLines/>
        <w:numPr>
          <w:ilvl w:val="1"/>
          <w:numId w:val="8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per relatie: embedden of verwijzen, met je reden;</w:t>
      </w:r>
    </w:p>
    <w:p>
      <w:pPr>
        <w:pStyle w:val="ListParagraph"/>
        <w:keepLines/>
        <w:numPr>
          <w:ilvl w:val="1"/>
          <w:numId w:val="8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of NULL-waarden en optionele velden zichtbaar zijn in het schema.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Doorlopend</w:t>
      </w:r>
    </w:p>
    <w:p>
      <w:pPr>
        <w:pStyle w:val="ListParagraph"/>
        <w:keepLines/>
        <w:numPr>
          <w:ilvl w:val="0"/>
          <w:numId w:val="9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README:</w:t>
      </w:r>
      <w:r>
        <w:rPr>
          <w:rFonts w:ascii="Calibri" w:cs="Calibri" w:eastAsia="Calibri" w:hAnsi="Calibri"/>
          <w:sz w:val="21"/>
          <w:szCs w:val="21"/>
        </w:rPr>
        <w:t xml:space="preserve"> een nieuwe versie (V2, …) wanneer je dat wil, telkens als apart bestand.</w:t>
      </w:r>
    </w:p>
    <w:p>
      <w:pPr>
        <w:pStyle w:val="ListParagraph"/>
        <w:keepLines/>
        <w:numPr>
          <w:ilvl w:val="0"/>
          <w:numId w:val="9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Takenlijst:</w:t>
      </w:r>
      <w:r>
        <w:rPr>
          <w:rFonts w:ascii="Calibri" w:cs="Calibri" w:eastAsia="Calibri" w:hAnsi="Calibri"/>
          <w:sz w:val="21"/>
          <w:szCs w:val="21"/>
        </w:rPr>
        <w:t xml:space="preserve"> een nieuwe versie als de opgave of de afspraken veranderen. De huidige spreekt bijvoorbeeld nog van enkel wijzen, en dat veranderde met afspraken V2.</w:t>
      </w:r>
    </w:p>
    <w:p>
      <w:pPr>
        <w:pStyle w:val="ListParagraph"/>
        <w:keepLines/>
        <w:numPr>
          <w:ilvl w:val="0"/>
          <w:numId w:val="9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Projectdocumenten en geheugen:</w:t>
      </w:r>
      <w:r>
        <w:rPr>
          <w:rFonts w:ascii="Calibri" w:cs="Calibri" w:eastAsia="Calibri" w:hAnsi="Calibri"/>
          <w:sz w:val="21"/>
          <w:szCs w:val="21"/>
        </w:rPr>
        <w:t xml:space="preserve"> elke nieuwe afspraak komt in een nieuw document.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Na de beoordeling (optioneel)</w:t>
      </w:r>
    </w:p>
    <w:p>
      <w:pPr>
        <w:keepNext w:val="false"/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ERD terugbrengen naar Bouwcontrole (takenlijst B01 tot B06), pas nadat alle drie de delen beoordeeld zijn.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Wat Claude niet doet</w:t>
      </w:r>
    </w:p>
    <w:p>
      <w:pPr>
        <w:pStyle w:val="ListParagraph"/>
        <w:keepLines/>
        <w:numPr>
          <w:ilvl w:val="0"/>
          <w:numId w:val="10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model, je SQL of je JSON schrijven, aanvullen of verbeteren;</w:t>
      </w:r>
    </w:p>
    <w:p>
      <w:pPr>
        <w:pStyle w:val="ListParagraph"/>
        <w:keepLines/>
        <w:numPr>
          <w:ilvl w:val="0"/>
          <w:numId w:val="10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afbakening, je special topic of een andere ontwerpkeuze maken;</w:t>
      </w:r>
    </w:p>
    <w:p>
      <w:pPr>
        <w:pStyle w:val="ListParagraph"/>
        <w:keepLines/>
        <w:numPr>
          <w:ilvl w:val="0"/>
          <w:numId w:val="10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testdata of queries verzinnen;</w:t>
      </w:r>
    </w:p>
    <w:p>
      <w:pPr>
        <w:pStyle w:val="ListParagraph"/>
        <w:keepLines/>
        <w:numPr>
          <w:ilvl w:val="0"/>
          <w:numId w:val="10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vooruitlopen op leerstof die nog niet aan bod is.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Wat Claude van jou nodig heeft</w:t>
      </w:r>
    </w:p>
    <w:p>
      <w:pPr>
        <w:pStyle w:val="ListParagraph"/>
        <w:keepLines/>
        <w:numPr>
          <w:ilvl w:val="0"/>
          <w:numId w:val="11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Zeg welke stap af is als je een nakijk vraagt.</w:t>
      </w:r>
    </w:p>
    <w:p>
      <w:pPr>
        <w:pStyle w:val="ListParagraph"/>
        <w:keepLines/>
        <w:numPr>
          <w:ilvl w:val="0"/>
          <w:numId w:val="11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Sla je bestanden op en sluit Word en draw.io voor Claude ze leest.</w:t>
      </w:r>
    </w:p>
    <w:p>
      <w:pPr>
        <w:pStyle w:val="ListParagraph"/>
        <w:keepLines/>
        <w:numPr>
          <w:ilvl w:val="0"/>
          <w:numId w:val="11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Geef de antwoorden van je leerkracht op de open vragen door. Die neemt Claude dan mee in de nakijk.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68E96"/>
        <w:sz w:val="16"/>
        <w:szCs w:val="16"/>
      </w:rPr>
      <w:t xml:space="preserve">Plan van aanpak databaseproject V2 · pagina </w:t>
    </w:r>
    <w:r>
      <w:rPr>
        <w:rFonts w:ascii="Calibri" w:cs="Calibri" w:eastAsia="Calibri" w:hAnsi="Calibri"/>
        <w:color w:val="868E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2E74B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2E74B5"/>
      </w:rPr>
    </w:lvl>
    <w:lvl w:ilvl="1" w15:tentative="1">
      <w:start w:val="1"/>
      <w:numFmt w:val="decimal"/>
      <w:lvlText w:val="%2."/>
      <w:lvlJc w:val="left"/>
      <w:pPr>
        <w:ind w:left="820" w:hanging="320"/>
      </w:pPr>
      <w:rPr>
        <w:b/>
        <w:bCs/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2026-10-26T08:16:03.953Z</dcterms:created>
  <dcterms:modified xsi:type="dcterms:W3CDTF">2026-10-26T08:16:03.959Z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